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740D9" w14:textId="09C7F424" w:rsidR="00DA7EE7" w:rsidRDefault="00DA7EE7" w:rsidP="00DA7EE7">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 11</w:t>
      </w:r>
      <w:r w:rsidR="00DC2679">
        <w:rPr>
          <w:b/>
          <w:noProof/>
          <w:sz w:val="24"/>
          <w:lang w:eastAsia="zh-CN"/>
        </w:rPr>
        <w:t>6</w:t>
      </w:r>
      <w:r>
        <w:rPr>
          <w:b/>
          <w:i/>
          <w:noProof/>
          <w:sz w:val="28"/>
          <w:lang w:eastAsia="zh-CN"/>
        </w:rPr>
        <w:tab/>
      </w:r>
      <w:r w:rsidR="00E13B37" w:rsidRPr="00E13B37">
        <w:rPr>
          <w:b/>
          <w:i/>
          <w:noProof/>
          <w:sz w:val="28"/>
          <w:lang w:eastAsia="zh-CN"/>
        </w:rPr>
        <w:t>R4-2510468</w:t>
      </w:r>
    </w:p>
    <w:p w14:paraId="661355EB" w14:textId="0CA80960" w:rsidR="007D2032" w:rsidRDefault="00DC2679" w:rsidP="00DA7EE7">
      <w:pPr>
        <w:pStyle w:val="CRCoverPage"/>
        <w:outlineLvl w:val="0"/>
        <w:rPr>
          <w:b/>
          <w:noProof/>
          <w:sz w:val="24"/>
        </w:rPr>
      </w:pPr>
      <w:r>
        <w:rPr>
          <w:rFonts w:cs="Arial"/>
          <w:b/>
          <w:sz w:val="24"/>
          <w:szCs w:val="24"/>
          <w:lang w:eastAsia="zh-CN"/>
        </w:rPr>
        <w:t>B</w:t>
      </w:r>
      <w:r w:rsidR="00DD639C">
        <w:rPr>
          <w:rFonts w:cs="Arial"/>
          <w:b/>
          <w:sz w:val="24"/>
          <w:szCs w:val="24"/>
          <w:lang w:eastAsia="zh-CN"/>
        </w:rPr>
        <w:t>e</w:t>
      </w:r>
      <w:r>
        <w:rPr>
          <w:rFonts w:cs="Arial"/>
          <w:b/>
          <w:sz w:val="24"/>
          <w:szCs w:val="24"/>
          <w:lang w:eastAsia="zh-CN"/>
        </w:rPr>
        <w:t>ngaluru</w:t>
      </w:r>
      <w:r w:rsidR="00DA7EE7" w:rsidRPr="00BF5557">
        <w:rPr>
          <w:rFonts w:cs="Arial"/>
          <w:b/>
          <w:sz w:val="24"/>
          <w:szCs w:val="24"/>
          <w:lang w:eastAsia="zh-CN"/>
        </w:rPr>
        <w:t xml:space="preserve">, </w:t>
      </w:r>
      <w:r>
        <w:rPr>
          <w:rFonts w:cs="Arial"/>
          <w:b/>
          <w:sz w:val="24"/>
          <w:szCs w:val="24"/>
          <w:lang w:eastAsia="zh-CN"/>
        </w:rPr>
        <w:t>India</w:t>
      </w:r>
      <w:r w:rsidR="00DA7EE7" w:rsidRPr="00BF5557">
        <w:rPr>
          <w:rFonts w:cs="Arial"/>
          <w:b/>
          <w:sz w:val="24"/>
          <w:szCs w:val="24"/>
          <w:lang w:eastAsia="zh-CN"/>
        </w:rPr>
        <w:t xml:space="preserve">, </w:t>
      </w:r>
      <w:r w:rsidR="00DD639C">
        <w:rPr>
          <w:rFonts w:cs="Arial"/>
          <w:b/>
          <w:sz w:val="24"/>
          <w:szCs w:val="24"/>
          <w:lang w:eastAsia="zh-CN"/>
        </w:rPr>
        <w:t>25</w:t>
      </w:r>
      <w:r w:rsidR="00DD639C" w:rsidRPr="00BF5557">
        <w:rPr>
          <w:rFonts w:cs="Arial"/>
          <w:b/>
          <w:sz w:val="24"/>
          <w:szCs w:val="24"/>
          <w:lang w:eastAsia="zh-CN"/>
        </w:rPr>
        <w:t xml:space="preserve">th – </w:t>
      </w:r>
      <w:r w:rsidR="00DD639C">
        <w:rPr>
          <w:rFonts w:cs="Arial"/>
          <w:b/>
          <w:sz w:val="24"/>
          <w:szCs w:val="24"/>
          <w:lang w:eastAsia="zh-CN"/>
        </w:rPr>
        <w:t>29</w:t>
      </w:r>
      <w:r w:rsidR="00DD639C" w:rsidRPr="00BF5557">
        <w:rPr>
          <w:rFonts w:cs="Arial"/>
          <w:b/>
          <w:sz w:val="24"/>
          <w:szCs w:val="24"/>
          <w:lang w:eastAsia="zh-CN"/>
        </w:rPr>
        <w:t xml:space="preserve">th </w:t>
      </w:r>
      <w:r w:rsidR="00DD639C">
        <w:rPr>
          <w:rFonts w:cs="Arial" w:hint="eastAsia"/>
          <w:b/>
          <w:sz w:val="24"/>
          <w:szCs w:val="24"/>
          <w:lang w:eastAsia="zh-CN"/>
        </w:rPr>
        <w:t>August</w:t>
      </w:r>
      <w:r w:rsidR="00DA7EE7" w:rsidRPr="00BF5557">
        <w:rPr>
          <w:rFonts w:cs="Arial"/>
          <w:b/>
          <w:sz w:val="24"/>
          <w:szCs w:val="24"/>
          <w:lang w:eastAsia="zh-CN"/>
        </w:rPr>
        <w:t xml:space="preserve"> 2025</w:t>
      </w:r>
    </w:p>
    <w:p w14:paraId="0ED3F343" w14:textId="77777777" w:rsidR="00337A21" w:rsidRPr="00DD639C" w:rsidRDefault="00337A21" w:rsidP="00337A21">
      <w:pPr>
        <w:pBdr>
          <w:top w:val="single" w:sz="4" w:space="1" w:color="auto"/>
        </w:pBdr>
        <w:spacing w:after="0"/>
        <w:rPr>
          <w:rFonts w:ascii="Arial" w:hAnsi="Arial" w:cs="Arial"/>
          <w:b/>
          <w:kern w:val="2"/>
          <w:sz w:val="16"/>
          <w:szCs w:val="16"/>
        </w:rPr>
      </w:pPr>
    </w:p>
    <w:p w14:paraId="7428117A" w14:textId="77777777" w:rsidR="00911C40" w:rsidRPr="00C36042" w:rsidRDefault="00911C40" w:rsidP="00911C40">
      <w:pPr>
        <w:tabs>
          <w:tab w:val="left" w:pos="1985"/>
        </w:tabs>
        <w:jc w:val="both"/>
        <w:rPr>
          <w:rFonts w:ascii="Arial" w:hAnsi="Arial" w:cs="Arial"/>
          <w:b/>
          <w:sz w:val="22"/>
        </w:rPr>
      </w:pPr>
      <w:r w:rsidRPr="00C36042">
        <w:rPr>
          <w:rFonts w:ascii="Arial" w:hAnsi="Arial" w:cs="Arial"/>
          <w:b/>
          <w:sz w:val="22"/>
        </w:rPr>
        <w:t xml:space="preserve">Source: </w:t>
      </w:r>
      <w:r w:rsidRPr="00C36042">
        <w:rPr>
          <w:rFonts w:ascii="Arial" w:hAnsi="Arial" w:cs="Arial"/>
          <w:b/>
          <w:sz w:val="22"/>
        </w:rPr>
        <w:tab/>
      </w:r>
      <w:r w:rsidRPr="00C36042">
        <w:rPr>
          <w:rFonts w:ascii="Arial" w:hAnsi="Arial" w:cs="Arial"/>
          <w:sz w:val="22"/>
        </w:rPr>
        <w:t xml:space="preserve">Huawei, </w:t>
      </w:r>
      <w:proofErr w:type="spellStart"/>
      <w:r w:rsidRPr="00C36042">
        <w:rPr>
          <w:rFonts w:ascii="Arial" w:hAnsi="Arial" w:cs="Arial"/>
          <w:sz w:val="22"/>
        </w:rPr>
        <w:t>Hi</w:t>
      </w:r>
      <w:r w:rsidR="00D33A45" w:rsidRPr="00C36042">
        <w:rPr>
          <w:rFonts w:ascii="Arial" w:hAnsi="Arial" w:cs="Arial"/>
          <w:sz w:val="22"/>
        </w:rPr>
        <w:t>S</w:t>
      </w:r>
      <w:r w:rsidRPr="00C36042">
        <w:rPr>
          <w:rFonts w:ascii="Arial" w:hAnsi="Arial" w:cs="Arial"/>
          <w:sz w:val="22"/>
        </w:rPr>
        <w:t>ilicon</w:t>
      </w:r>
      <w:proofErr w:type="spellEnd"/>
    </w:p>
    <w:p w14:paraId="403361BE" w14:textId="3D461957" w:rsidR="00911C40" w:rsidRPr="00C36042" w:rsidRDefault="00911C40" w:rsidP="00D548AB">
      <w:pPr>
        <w:ind w:left="1985" w:hanging="1985"/>
        <w:rPr>
          <w:rFonts w:ascii="Arial" w:hAnsi="Arial" w:cs="Arial"/>
          <w:sz w:val="22"/>
        </w:rPr>
      </w:pPr>
      <w:r w:rsidRPr="00C36042">
        <w:rPr>
          <w:rFonts w:ascii="Arial" w:hAnsi="Arial" w:cs="Arial"/>
          <w:b/>
          <w:sz w:val="22"/>
        </w:rPr>
        <w:t>Title:</w:t>
      </w:r>
      <w:r w:rsidRPr="00C36042">
        <w:rPr>
          <w:rFonts w:ascii="Arial" w:hAnsi="Arial" w:cs="Arial"/>
          <w:sz w:val="22"/>
        </w:rPr>
        <w:t xml:space="preserve"> </w:t>
      </w:r>
      <w:r w:rsidRPr="00C36042">
        <w:rPr>
          <w:rFonts w:ascii="Arial" w:hAnsi="Arial" w:cs="Arial"/>
          <w:sz w:val="22"/>
        </w:rPr>
        <w:tab/>
      </w:r>
      <w:r w:rsidR="00550114" w:rsidRPr="00550114">
        <w:rPr>
          <w:rFonts w:ascii="Arial" w:hAnsi="Arial" w:cs="Arial"/>
          <w:sz w:val="22"/>
        </w:rPr>
        <w:t>Discussion on simultaneous Rx-Tx</w:t>
      </w:r>
    </w:p>
    <w:p w14:paraId="0E398992" w14:textId="6AA7225C" w:rsidR="00911C40" w:rsidRPr="00C36042" w:rsidRDefault="00911C40" w:rsidP="00911C40">
      <w:pPr>
        <w:ind w:left="1985" w:hanging="1985"/>
        <w:rPr>
          <w:rFonts w:ascii="Arial" w:hAnsi="Arial" w:cs="Arial"/>
          <w:sz w:val="22"/>
        </w:rPr>
      </w:pPr>
      <w:r w:rsidRPr="00C36042">
        <w:rPr>
          <w:rFonts w:ascii="Arial" w:hAnsi="Arial" w:cs="Arial"/>
          <w:b/>
          <w:sz w:val="22"/>
        </w:rPr>
        <w:t>Agenda Item:</w:t>
      </w:r>
      <w:r w:rsidRPr="00C36042">
        <w:rPr>
          <w:rFonts w:ascii="Arial" w:hAnsi="Arial" w:cs="Arial"/>
          <w:sz w:val="22"/>
        </w:rPr>
        <w:tab/>
      </w:r>
      <w:r w:rsidR="00550114">
        <w:rPr>
          <w:rFonts w:ascii="Arial" w:hAnsi="Arial" w:cs="Arial"/>
          <w:sz w:val="22"/>
        </w:rPr>
        <w:t>6.1</w:t>
      </w:r>
      <w:r w:rsidR="00DA7EE7">
        <w:rPr>
          <w:rFonts w:ascii="Arial" w:hAnsi="Arial" w:cs="Arial"/>
          <w:sz w:val="22"/>
        </w:rPr>
        <w:t>1</w:t>
      </w:r>
      <w:r w:rsidR="00550114">
        <w:rPr>
          <w:rFonts w:ascii="Arial" w:hAnsi="Arial" w:cs="Arial"/>
          <w:sz w:val="22"/>
        </w:rPr>
        <w:t>.2</w:t>
      </w:r>
    </w:p>
    <w:p w14:paraId="505F6DD2" w14:textId="77777777" w:rsidR="00911C40" w:rsidRPr="00C36042" w:rsidRDefault="00911C40" w:rsidP="00911C40">
      <w:pPr>
        <w:tabs>
          <w:tab w:val="left" w:pos="1985"/>
        </w:tabs>
        <w:jc w:val="both"/>
        <w:rPr>
          <w:rFonts w:ascii="Arial" w:hAnsi="Arial" w:cs="Arial"/>
          <w:sz w:val="22"/>
        </w:rPr>
      </w:pPr>
      <w:r w:rsidRPr="00C36042">
        <w:rPr>
          <w:rFonts w:ascii="Arial" w:hAnsi="Arial" w:cs="Arial"/>
          <w:b/>
          <w:sz w:val="22"/>
        </w:rPr>
        <w:t>Document for:</w:t>
      </w:r>
      <w:r w:rsidRPr="00C36042">
        <w:rPr>
          <w:rFonts w:ascii="Arial" w:hAnsi="Arial" w:cs="Arial"/>
          <w:sz w:val="22"/>
        </w:rPr>
        <w:tab/>
      </w:r>
      <w:r w:rsidR="007726BB" w:rsidRPr="00C36042">
        <w:rPr>
          <w:rFonts w:ascii="Arial" w:hAnsi="Arial" w:cs="Arial"/>
          <w:sz w:val="22"/>
        </w:rPr>
        <w:t>Approval</w:t>
      </w:r>
    </w:p>
    <w:bookmarkEnd w:id="0"/>
    <w:bookmarkEnd w:id="1"/>
    <w:p w14:paraId="7804EB93" w14:textId="77777777" w:rsidR="00AD4188" w:rsidRPr="00C36042" w:rsidRDefault="00062E8E" w:rsidP="00F23E96">
      <w:pPr>
        <w:pStyle w:val="1"/>
        <w:spacing w:after="240"/>
        <w:rPr>
          <w:rFonts w:eastAsia="宋体" w:cs="Arial"/>
          <w:lang w:eastAsia="zh-CN"/>
        </w:rPr>
      </w:pPr>
      <w:r w:rsidRPr="00C36042">
        <w:rPr>
          <w:rFonts w:eastAsia="宋体" w:cs="Arial"/>
          <w:lang w:eastAsia="zh-CN"/>
        </w:rPr>
        <w:t>Introduction</w:t>
      </w:r>
    </w:p>
    <w:p w14:paraId="64219CFB" w14:textId="37B75C50" w:rsidR="000701AA" w:rsidRDefault="000701AA" w:rsidP="000F3697">
      <w:pPr>
        <w:spacing w:afterLines="50" w:after="120"/>
        <w:jc w:val="both"/>
      </w:pPr>
      <w:r>
        <w:rPr>
          <w:lang w:val="en-US"/>
        </w:rPr>
        <w:t xml:space="preserve">In the approved revised WID on simultaneous Rx-Tx [1], </w:t>
      </w:r>
      <w:r w:rsidR="0065404A">
        <w:rPr>
          <w:lang w:val="en-US"/>
        </w:rPr>
        <w:t>the analysis of CA_n5A-n8A is included</w:t>
      </w:r>
      <w:r w:rsidR="000F3697">
        <w:rPr>
          <w:lang w:val="en-US"/>
        </w:rPr>
        <w:t>.</w:t>
      </w:r>
    </w:p>
    <w:p w14:paraId="6DC84A8B" w14:textId="4659BA74" w:rsidR="000F3697" w:rsidRDefault="004A29AC" w:rsidP="000F3697">
      <w:pPr>
        <w:spacing w:afterLines="50" w:after="120"/>
        <w:jc w:val="both"/>
      </w:pPr>
      <w:r>
        <w:rPr>
          <w:rFonts w:hint="eastAsia"/>
        </w:rPr>
        <w:t>I</w:t>
      </w:r>
      <w:r>
        <w:t>n this paper, we provide considerations on CA_n5A-n8A based on the WF [2] in the last meeting.</w:t>
      </w:r>
    </w:p>
    <w:tbl>
      <w:tblPr>
        <w:tblStyle w:val="aff"/>
        <w:tblW w:w="0" w:type="auto"/>
        <w:tblLook w:val="04A0" w:firstRow="1" w:lastRow="0" w:firstColumn="1" w:lastColumn="0" w:noHBand="0" w:noVBand="1"/>
      </w:tblPr>
      <w:tblGrid>
        <w:gridCol w:w="9629"/>
      </w:tblGrid>
      <w:tr w:rsidR="004953D7" w14:paraId="21BEDF36" w14:textId="77777777" w:rsidTr="004953D7">
        <w:tc>
          <w:tcPr>
            <w:tcW w:w="9629" w:type="dxa"/>
          </w:tcPr>
          <w:p w14:paraId="3285EB9E" w14:textId="77777777" w:rsidR="004953D7" w:rsidRPr="009A155B" w:rsidRDefault="004953D7" w:rsidP="004953D7">
            <w:pPr>
              <w:rPr>
                <w:rFonts w:ascii="Arial" w:eastAsiaTheme="minorEastAsia" w:hAnsi="Arial" w:cs="Arial"/>
                <w:b/>
                <w:u w:val="single"/>
              </w:rPr>
            </w:pPr>
            <w:r w:rsidRPr="009A155B">
              <w:rPr>
                <w:rFonts w:ascii="Arial" w:eastAsiaTheme="minorEastAsia" w:hAnsi="Arial" w:cs="Arial"/>
                <w:b/>
                <w:u w:val="single"/>
              </w:rPr>
              <w:t xml:space="preserve">&lt;Way forward&gt;: </w:t>
            </w:r>
          </w:p>
          <w:p w14:paraId="56ACCD6F" w14:textId="77777777" w:rsidR="004953D7" w:rsidRDefault="004953D7" w:rsidP="004953D7">
            <w:pPr>
              <w:spacing w:before="120" w:after="120" w:line="276" w:lineRule="auto"/>
              <w:jc w:val="both"/>
              <w:rPr>
                <w:rFonts w:ascii="Arial" w:hAnsi="Arial" w:cs="Arial"/>
                <w:color w:val="000000"/>
              </w:rPr>
            </w:pPr>
            <w:r>
              <w:rPr>
                <w:rFonts w:ascii="Arial" w:hAnsi="Arial" w:cs="Arial"/>
                <w:color w:val="000000"/>
              </w:rPr>
              <w:t xml:space="preserve">For CA_n5-n8, further consider the following solution with side conditions to support </w:t>
            </w:r>
            <w:r w:rsidRPr="009A155B">
              <w:rPr>
                <w:rFonts w:ascii="Arial" w:hAnsi="Arial" w:cs="Arial"/>
                <w:color w:val="000000"/>
              </w:rPr>
              <w:t>both 1UL/2DL and 2UL/2DL CA</w:t>
            </w:r>
            <w:r>
              <w:rPr>
                <w:rFonts w:ascii="Arial" w:hAnsi="Arial" w:cs="Arial"/>
                <w:color w:val="000000"/>
              </w:rPr>
              <w:t xml:space="preserve"> with</w:t>
            </w:r>
            <w:r w:rsidRPr="009A155B">
              <w:rPr>
                <w:rFonts w:ascii="Arial" w:hAnsi="Arial" w:cs="Arial"/>
                <w:color w:val="000000"/>
              </w:rPr>
              <w:t xml:space="preserve"> </w:t>
            </w:r>
            <w:r>
              <w:rPr>
                <w:rFonts w:ascii="Arial" w:hAnsi="Arial" w:cs="Arial"/>
                <w:color w:val="000000"/>
              </w:rPr>
              <w:t>n</w:t>
            </w:r>
            <w:r w:rsidRPr="009A155B">
              <w:rPr>
                <w:rFonts w:ascii="Arial" w:hAnsi="Arial" w:cs="Arial"/>
                <w:color w:val="000000"/>
              </w:rPr>
              <w:t>on-concurrent n5 DL and n8 UL</w:t>
            </w:r>
            <w:r>
              <w:rPr>
                <w:rFonts w:ascii="Arial" w:hAnsi="Arial" w:cs="Arial"/>
                <w:color w:val="000000"/>
              </w:rPr>
              <w:t xml:space="preserve"> in Rel-19:</w:t>
            </w:r>
          </w:p>
          <w:p w14:paraId="3E520EA4" w14:textId="77777777" w:rsidR="004953D7" w:rsidRPr="00BE790B" w:rsidRDefault="004953D7" w:rsidP="004953D7">
            <w:pPr>
              <w:spacing w:before="120" w:after="120" w:line="276" w:lineRule="auto"/>
              <w:jc w:val="both"/>
              <w:rPr>
                <w:rFonts w:ascii="Arial" w:hAnsi="Arial" w:cs="Arial"/>
                <w:color w:val="000000"/>
                <w:u w:val="single"/>
              </w:rPr>
            </w:pPr>
            <w:r w:rsidRPr="00351153">
              <w:rPr>
                <w:rFonts w:ascii="Arial" w:hAnsi="Arial" w:cs="Arial"/>
                <w:color w:val="000000"/>
              </w:rPr>
              <w:t xml:space="preserve">Support </w:t>
            </w:r>
            <w:r>
              <w:rPr>
                <w:rFonts w:ascii="Arial" w:hAnsi="Arial" w:cs="Arial" w:hint="eastAsia"/>
                <w:color w:val="000000"/>
              </w:rPr>
              <w:t>case</w:t>
            </w:r>
            <w:r>
              <w:rPr>
                <w:rFonts w:ascii="Arial" w:hAnsi="Arial" w:cs="Arial"/>
                <w:color w:val="000000"/>
              </w:rPr>
              <w:t xml:space="preserve"> 1 </w:t>
            </w:r>
            <w:r>
              <w:rPr>
                <w:rFonts w:ascii="Arial" w:hAnsi="Arial" w:cs="Arial" w:hint="eastAsia"/>
                <w:color w:val="000000"/>
              </w:rPr>
              <w:t>and</w:t>
            </w:r>
            <w:r>
              <w:rPr>
                <w:rFonts w:ascii="Arial" w:hAnsi="Arial" w:cs="Arial"/>
                <w:color w:val="000000"/>
              </w:rPr>
              <w:t xml:space="preserve"> case 2 via RRC reconfiguration.</w:t>
            </w:r>
          </w:p>
          <w:p w14:paraId="6D0871F5" w14:textId="77777777" w:rsidR="004953D7" w:rsidRPr="002A6553" w:rsidRDefault="004953D7" w:rsidP="00592299">
            <w:pPr>
              <w:pStyle w:val="afff0"/>
              <w:widowControl/>
              <w:numPr>
                <w:ilvl w:val="0"/>
                <w:numId w:val="11"/>
              </w:numPr>
              <w:overflowPunct w:val="0"/>
              <w:autoSpaceDE w:val="0"/>
              <w:autoSpaceDN w:val="0"/>
              <w:adjustRightInd w:val="0"/>
              <w:spacing w:before="120" w:after="120" w:line="276" w:lineRule="auto"/>
              <w:ind w:firstLineChars="0"/>
              <w:textAlignment w:val="baseline"/>
              <w:rPr>
                <w:rFonts w:ascii="Arial" w:hAnsi="Arial" w:cs="Arial"/>
                <w:color w:val="000000"/>
                <w:lang w:eastAsia="zh-CN"/>
              </w:rPr>
            </w:pPr>
            <w:r w:rsidRPr="002A6553">
              <w:rPr>
                <w:rFonts w:ascii="Arial" w:hAnsi="Arial" w:cs="Arial" w:hint="eastAsia"/>
                <w:color w:val="000000"/>
                <w:lang w:eastAsia="zh-CN"/>
              </w:rPr>
              <w:t>C</w:t>
            </w:r>
            <w:r w:rsidRPr="002A6553">
              <w:rPr>
                <w:rFonts w:ascii="Arial" w:hAnsi="Arial" w:cs="Arial"/>
                <w:color w:val="000000"/>
                <w:lang w:eastAsia="zh-CN"/>
              </w:rPr>
              <w:t xml:space="preserve">ase 1: 2UL/2DL configuration, </w:t>
            </w:r>
            <w:r>
              <w:rPr>
                <w:rFonts w:ascii="Arial" w:hAnsi="Arial" w:cs="Arial"/>
                <w:color w:val="000000"/>
                <w:lang w:eastAsia="zh-CN"/>
              </w:rPr>
              <w:t>where NW shall keep all the four carriers activated, allocate resource allocation for a dedicated user only to n5 UL, n8 UL and n8 DL (</w:t>
            </w:r>
            <w:r w:rsidRPr="002A6553">
              <w:rPr>
                <w:rFonts w:ascii="Arial" w:hAnsi="Arial" w:cs="Arial"/>
                <w:color w:val="000000"/>
                <w:lang w:eastAsia="zh-CN"/>
              </w:rPr>
              <w:t>no n5 DL resource allocation</w:t>
            </w:r>
            <w:r>
              <w:rPr>
                <w:rFonts w:ascii="Arial" w:hAnsi="Arial" w:cs="Arial"/>
                <w:color w:val="000000"/>
                <w:lang w:eastAsia="zh-CN"/>
              </w:rPr>
              <w:t xml:space="preserve"> to a dedicated user) </w:t>
            </w:r>
            <w:r w:rsidRPr="00A71DA2">
              <w:rPr>
                <w:rFonts w:ascii="Arial" w:hAnsi="Arial" w:cs="Arial"/>
                <w:color w:val="000000"/>
                <w:lang w:eastAsia="zh-CN"/>
              </w:rPr>
              <w:t>and both two bands are collocated</w:t>
            </w:r>
            <w:r>
              <w:rPr>
                <w:rFonts w:ascii="Arial" w:hAnsi="Arial" w:cs="Arial"/>
                <w:color w:val="000000"/>
                <w:lang w:eastAsia="zh-CN"/>
              </w:rPr>
              <w:t>.</w:t>
            </w:r>
          </w:p>
          <w:p w14:paraId="7808AFAC" w14:textId="77777777" w:rsidR="004953D7" w:rsidRDefault="004953D7" w:rsidP="004953D7">
            <w:pPr>
              <w:spacing w:before="120" w:after="120" w:line="276" w:lineRule="auto"/>
              <w:jc w:val="center"/>
              <w:rPr>
                <w:rFonts w:ascii="Arial" w:hAnsi="Arial" w:cs="Arial"/>
                <w:color w:val="000000"/>
              </w:rPr>
            </w:pPr>
            <w:r>
              <w:rPr>
                <w:noProof/>
              </w:rPr>
              <w:drawing>
                <wp:inline distT="0" distB="0" distL="0" distR="0" wp14:anchorId="64A4B5D0" wp14:editId="1DDFE114">
                  <wp:extent cx="3514725" cy="1047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14725" cy="1047750"/>
                          </a:xfrm>
                          <a:prstGeom prst="rect">
                            <a:avLst/>
                          </a:prstGeom>
                        </pic:spPr>
                      </pic:pic>
                    </a:graphicData>
                  </a:graphic>
                </wp:inline>
              </w:drawing>
            </w:r>
          </w:p>
          <w:p w14:paraId="00485A71" w14:textId="77777777" w:rsidR="004953D7" w:rsidRDefault="004953D7" w:rsidP="004953D7">
            <w:pPr>
              <w:spacing w:before="120" w:after="120" w:line="276" w:lineRule="auto"/>
              <w:jc w:val="both"/>
              <w:rPr>
                <w:rFonts w:ascii="Arial" w:hAnsi="Arial" w:cs="Arial"/>
                <w:color w:val="000000"/>
              </w:rPr>
            </w:pPr>
          </w:p>
          <w:p w14:paraId="72C24563" w14:textId="77777777" w:rsidR="004953D7" w:rsidRPr="002A6553" w:rsidRDefault="004953D7" w:rsidP="00592299">
            <w:pPr>
              <w:pStyle w:val="afff0"/>
              <w:widowControl/>
              <w:numPr>
                <w:ilvl w:val="0"/>
                <w:numId w:val="11"/>
              </w:numPr>
              <w:overflowPunct w:val="0"/>
              <w:autoSpaceDE w:val="0"/>
              <w:autoSpaceDN w:val="0"/>
              <w:adjustRightInd w:val="0"/>
              <w:spacing w:before="120" w:after="120" w:line="276" w:lineRule="auto"/>
              <w:ind w:firstLineChars="0"/>
              <w:textAlignment w:val="baseline"/>
              <w:rPr>
                <w:rFonts w:ascii="Arial" w:hAnsi="Arial" w:cs="Arial"/>
                <w:color w:val="000000"/>
                <w:lang w:eastAsia="zh-CN"/>
              </w:rPr>
            </w:pPr>
            <w:r w:rsidRPr="002A6553">
              <w:rPr>
                <w:rFonts w:ascii="Arial" w:hAnsi="Arial" w:cs="Arial" w:hint="eastAsia"/>
                <w:color w:val="000000"/>
                <w:lang w:eastAsia="zh-CN"/>
              </w:rPr>
              <w:t>C</w:t>
            </w:r>
            <w:r w:rsidRPr="002A6553">
              <w:rPr>
                <w:rFonts w:ascii="Arial" w:hAnsi="Arial" w:cs="Arial"/>
                <w:color w:val="000000"/>
                <w:lang w:eastAsia="zh-CN"/>
              </w:rPr>
              <w:t>ase 2: 1UL/2DL configuration</w:t>
            </w:r>
          </w:p>
          <w:p w14:paraId="21ECEAD8" w14:textId="77777777" w:rsidR="004953D7" w:rsidRDefault="004953D7" w:rsidP="004953D7">
            <w:pPr>
              <w:snapToGrid w:val="0"/>
              <w:spacing w:afterLines="50" w:after="120"/>
              <w:jc w:val="center"/>
              <w:rPr>
                <w:rFonts w:eastAsiaTheme="minorEastAsia"/>
              </w:rPr>
            </w:pPr>
            <w:r>
              <w:rPr>
                <w:noProof/>
              </w:rPr>
              <w:drawing>
                <wp:inline distT="0" distB="0" distL="0" distR="0" wp14:anchorId="30CA810D" wp14:editId="63C59FD2">
                  <wp:extent cx="2809875" cy="10382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09875" cy="1038225"/>
                          </a:xfrm>
                          <a:prstGeom prst="rect">
                            <a:avLst/>
                          </a:prstGeom>
                        </pic:spPr>
                      </pic:pic>
                    </a:graphicData>
                  </a:graphic>
                </wp:inline>
              </w:drawing>
            </w:r>
          </w:p>
          <w:p w14:paraId="18FA1658" w14:textId="77777777" w:rsidR="004953D7" w:rsidRDefault="004953D7" w:rsidP="004953D7">
            <w:pPr>
              <w:snapToGrid w:val="0"/>
              <w:spacing w:afterLines="50" w:after="120"/>
              <w:rPr>
                <w:rFonts w:ascii="Arial" w:eastAsiaTheme="minorEastAsia" w:hAnsi="Arial" w:cs="Arial"/>
              </w:rPr>
            </w:pPr>
          </w:p>
          <w:p w14:paraId="4D37F872" w14:textId="77777777" w:rsidR="004953D7" w:rsidRDefault="004953D7" w:rsidP="004953D7">
            <w:pPr>
              <w:snapToGrid w:val="0"/>
              <w:spacing w:afterLines="50" w:after="120"/>
              <w:rPr>
                <w:rFonts w:ascii="Arial" w:eastAsiaTheme="minorEastAsia" w:hAnsi="Arial" w:cs="Arial"/>
              </w:rPr>
            </w:pPr>
            <w:r>
              <w:rPr>
                <w:rFonts w:ascii="Arial" w:eastAsiaTheme="minorEastAsia" w:hAnsi="Arial" w:cs="Arial"/>
              </w:rPr>
              <w:t>Companies are encouraged to study necessity of additional RRM spec or additional requirement(s) of other working groups. If there is impact on RRM or other WGs beyond the introduction of UE capability, the solution is not considered in Rel-19.</w:t>
            </w:r>
          </w:p>
          <w:p w14:paraId="6007AE84" w14:textId="2F911BCC" w:rsidR="004953D7" w:rsidRPr="004953D7" w:rsidRDefault="004953D7" w:rsidP="004953D7">
            <w:pPr>
              <w:snapToGrid w:val="0"/>
              <w:spacing w:afterLines="50" w:after="120"/>
              <w:rPr>
                <w:rFonts w:ascii="Arial" w:eastAsiaTheme="minorEastAsia" w:hAnsi="Arial" w:cs="Arial"/>
                <w:lang w:val="en-US"/>
              </w:rPr>
            </w:pPr>
            <w:r>
              <w:rPr>
                <w:rFonts w:ascii="Arial" w:eastAsiaTheme="minorEastAsia" w:hAnsi="Arial" w:cs="Arial"/>
              </w:rPr>
              <w:t>Whether new capability is needed or not would be further discussed.</w:t>
            </w:r>
          </w:p>
        </w:tc>
      </w:tr>
    </w:tbl>
    <w:p w14:paraId="7B52CEA7" w14:textId="77777777" w:rsidR="004953D7" w:rsidRPr="00897B59" w:rsidRDefault="004953D7" w:rsidP="000F3697">
      <w:pPr>
        <w:spacing w:afterLines="50" w:after="120"/>
        <w:jc w:val="both"/>
      </w:pPr>
    </w:p>
    <w:p w14:paraId="0236D099" w14:textId="48F3EB78" w:rsidR="00136F48" w:rsidRDefault="008B06EE" w:rsidP="00986D7A">
      <w:pPr>
        <w:spacing w:afterLines="50" w:after="120"/>
        <w:jc w:val="both"/>
        <w:rPr>
          <w:lang w:val="en-US"/>
        </w:rPr>
      </w:pPr>
      <w:r>
        <w:rPr>
          <w:lang w:val="en-US"/>
        </w:rPr>
        <w:t>Besides, t</w:t>
      </w:r>
      <w:r w:rsidR="002D3065">
        <w:rPr>
          <w:lang w:val="en-US"/>
        </w:rPr>
        <w:t xml:space="preserve">his paper </w:t>
      </w:r>
      <w:r w:rsidR="004A29AC">
        <w:rPr>
          <w:lang w:val="en-US"/>
        </w:rPr>
        <w:t xml:space="preserve">also </w:t>
      </w:r>
      <w:r w:rsidR="002D3065">
        <w:rPr>
          <w:lang w:val="en-US"/>
        </w:rPr>
        <w:t xml:space="preserve">further </w:t>
      </w:r>
      <w:proofErr w:type="gramStart"/>
      <w:r w:rsidR="002D3065">
        <w:rPr>
          <w:lang w:val="en-US"/>
        </w:rPr>
        <w:t>analy</w:t>
      </w:r>
      <w:r w:rsidR="004A29AC">
        <w:rPr>
          <w:lang w:val="en-US"/>
        </w:rPr>
        <w:t>ze</w:t>
      </w:r>
      <w:proofErr w:type="gramEnd"/>
      <w:r w:rsidR="002D3065">
        <w:rPr>
          <w:lang w:val="en-US"/>
        </w:rPr>
        <w:t xml:space="preserve"> based on the WF</w:t>
      </w:r>
      <w:r w:rsidR="004A29AC">
        <w:rPr>
          <w:lang w:val="en-US"/>
        </w:rPr>
        <w:t xml:space="preserve"> [3]</w:t>
      </w:r>
      <w:r w:rsidR="002D3065">
        <w:rPr>
          <w:lang w:val="en-US"/>
        </w:rPr>
        <w:t xml:space="preserve"> about how to handle the exceptional cases for FDD-FDD and FDD-SDL.</w:t>
      </w:r>
    </w:p>
    <w:p w14:paraId="4E0955C6" w14:textId="46AA9E5F" w:rsidR="00086DDF" w:rsidRPr="00086DDF" w:rsidRDefault="002D3065" w:rsidP="00086DDF">
      <w:pPr>
        <w:pStyle w:val="1"/>
        <w:spacing w:after="240"/>
        <w:rPr>
          <w:rFonts w:eastAsia="宋体" w:cs="Arial"/>
          <w:lang w:eastAsia="zh-CN"/>
        </w:rPr>
      </w:pPr>
      <w:bookmarkStart w:id="2" w:name="OLE_LINK5"/>
      <w:r>
        <w:rPr>
          <w:rFonts w:eastAsia="宋体" w:cs="Arial"/>
          <w:lang w:eastAsia="zh-CN"/>
        </w:rPr>
        <w:lastRenderedPageBreak/>
        <w:t>Discussion</w:t>
      </w:r>
    </w:p>
    <w:p w14:paraId="07BBD453" w14:textId="49BE121E" w:rsidR="00F10890" w:rsidRDefault="00F10890" w:rsidP="00986D7A">
      <w:pPr>
        <w:snapToGrid w:val="0"/>
        <w:spacing w:beforeLines="50" w:before="120" w:after="0"/>
        <w:jc w:val="both"/>
      </w:pPr>
      <w:r>
        <w:rPr>
          <w:b/>
          <w:u w:val="single"/>
        </w:rPr>
        <w:t xml:space="preserve">Current state for simultaneous Rx-Tx of </w:t>
      </w:r>
      <w:r w:rsidRPr="00DE6D49">
        <w:rPr>
          <w:b/>
          <w:u w:val="single"/>
        </w:rPr>
        <w:t>inter-band CA</w:t>
      </w:r>
      <w:r>
        <w:rPr>
          <w:b/>
          <w:u w:val="single"/>
        </w:rPr>
        <w:t xml:space="preserve"> in spec:</w:t>
      </w:r>
    </w:p>
    <w:p w14:paraId="5E5FB056" w14:textId="1E504034" w:rsidR="00483166" w:rsidRDefault="00483166" w:rsidP="00986D7A">
      <w:pPr>
        <w:snapToGrid w:val="0"/>
        <w:spacing w:beforeLines="50" w:before="120" w:after="0"/>
        <w:jc w:val="both"/>
      </w:pPr>
      <w:r>
        <w:rPr>
          <w:rFonts w:hint="eastAsia"/>
        </w:rPr>
        <w:t>F</w:t>
      </w:r>
      <w:r>
        <w:t xml:space="preserve">or </w:t>
      </w:r>
      <w:r w:rsidR="006D544A">
        <w:t xml:space="preserve">TDD-TDD </w:t>
      </w:r>
      <w:r w:rsidR="006D544A">
        <w:rPr>
          <w:rFonts w:hint="eastAsia"/>
        </w:rPr>
        <w:t>and</w:t>
      </w:r>
      <w:r w:rsidR="006D544A">
        <w:t xml:space="preserve"> TDD-FDD inter-band CA, tak</w:t>
      </w:r>
      <w:r w:rsidR="00F35FC3">
        <w:t>ing</w:t>
      </w:r>
      <w:r w:rsidR="006D544A">
        <w:t xml:space="preserve"> </w:t>
      </w:r>
      <w:proofErr w:type="spellStart"/>
      <w:r w:rsidR="006D544A">
        <w:t>CA_nA-nB</w:t>
      </w:r>
      <w:proofErr w:type="spellEnd"/>
      <w:r w:rsidR="006D544A">
        <w:t xml:space="preserve"> for example, the capability </w:t>
      </w:r>
      <w:proofErr w:type="spellStart"/>
      <w:r w:rsidR="006D544A">
        <w:t>simultaneousRxTx</w:t>
      </w:r>
      <w:proofErr w:type="spellEnd"/>
      <w:r w:rsidR="006D544A">
        <w:t xml:space="preserve"> does not differentiate the two cases. Just both supported or neither. </w:t>
      </w:r>
    </w:p>
    <w:p w14:paraId="0A39059D" w14:textId="77777777" w:rsidR="006D544A" w:rsidRPr="006D544A" w:rsidRDefault="006D544A" w:rsidP="00592299">
      <w:pPr>
        <w:pStyle w:val="afff0"/>
        <w:numPr>
          <w:ilvl w:val="0"/>
          <w:numId w:val="10"/>
        </w:numPr>
        <w:ind w:firstLineChars="0"/>
        <w:rPr>
          <w:rFonts w:ascii="Times New Roman" w:hAnsi="Times New Roman"/>
        </w:rPr>
      </w:pPr>
      <w:r w:rsidRPr="006D544A">
        <w:rPr>
          <w:rFonts w:ascii="Times New Roman" w:hAnsi="Times New Roman"/>
        </w:rPr>
        <w:t>simultaneous (</w:t>
      </w:r>
      <w:proofErr w:type="spellStart"/>
      <w:r w:rsidRPr="006D544A">
        <w:rPr>
          <w:rFonts w:ascii="Times New Roman" w:hAnsi="Times New Roman"/>
        </w:rPr>
        <w:t>nAUL</w:t>
      </w:r>
      <w:proofErr w:type="spellEnd"/>
      <w:r w:rsidRPr="006D544A">
        <w:rPr>
          <w:rFonts w:ascii="Times New Roman" w:hAnsi="Times New Roman"/>
        </w:rPr>
        <w:t xml:space="preserve">, </w:t>
      </w:r>
      <w:proofErr w:type="spellStart"/>
      <w:r w:rsidRPr="006D544A">
        <w:rPr>
          <w:rFonts w:ascii="Times New Roman" w:hAnsi="Times New Roman"/>
        </w:rPr>
        <w:t>nBDL</w:t>
      </w:r>
      <w:proofErr w:type="spellEnd"/>
      <w:r w:rsidRPr="006D544A">
        <w:rPr>
          <w:rFonts w:ascii="Times New Roman" w:hAnsi="Times New Roman"/>
        </w:rPr>
        <w:t>)</w:t>
      </w:r>
    </w:p>
    <w:p w14:paraId="5718D921" w14:textId="26500B60" w:rsidR="006D544A" w:rsidRPr="006D544A" w:rsidRDefault="006D544A" w:rsidP="00592299">
      <w:pPr>
        <w:pStyle w:val="afff0"/>
        <w:numPr>
          <w:ilvl w:val="0"/>
          <w:numId w:val="10"/>
        </w:numPr>
        <w:ind w:firstLineChars="0"/>
        <w:rPr>
          <w:rFonts w:ascii="Times New Roman" w:hAnsi="Times New Roman"/>
        </w:rPr>
      </w:pPr>
      <w:r w:rsidRPr="006D544A">
        <w:rPr>
          <w:rFonts w:ascii="Times New Roman" w:hAnsi="Times New Roman"/>
        </w:rPr>
        <w:t>simultaneous (</w:t>
      </w:r>
      <w:proofErr w:type="spellStart"/>
      <w:r w:rsidRPr="006D544A">
        <w:rPr>
          <w:rFonts w:ascii="Times New Roman" w:hAnsi="Times New Roman"/>
        </w:rPr>
        <w:t>nBUL</w:t>
      </w:r>
      <w:proofErr w:type="spellEnd"/>
      <w:r w:rsidRPr="006D544A">
        <w:rPr>
          <w:rFonts w:ascii="Times New Roman" w:hAnsi="Times New Roman"/>
        </w:rPr>
        <w:t xml:space="preserve">, </w:t>
      </w:r>
      <w:proofErr w:type="spellStart"/>
      <w:r w:rsidRPr="006D544A">
        <w:rPr>
          <w:rFonts w:ascii="Times New Roman" w:hAnsi="Times New Roman"/>
        </w:rPr>
        <w:t>nADL</w:t>
      </w:r>
      <w:proofErr w:type="spellEnd"/>
      <w:r w:rsidRPr="006D544A">
        <w:rPr>
          <w:rFonts w:ascii="Times New Roman" w:hAnsi="Times New Roman"/>
        </w:rPr>
        <w:t>)</w:t>
      </w:r>
    </w:p>
    <w:p w14:paraId="21B4EE36" w14:textId="7726913A" w:rsidR="00E42B0F" w:rsidRDefault="00F10890" w:rsidP="00986D7A">
      <w:pPr>
        <w:snapToGrid w:val="0"/>
        <w:spacing w:before="180"/>
        <w:jc w:val="both"/>
      </w:pPr>
      <w:r>
        <w:t xml:space="preserve">In RRM requirement </w:t>
      </w:r>
      <w:r w:rsidRPr="00F10890">
        <w:t>Applicability of requirements for scheduling availability</w:t>
      </w:r>
      <w:r>
        <w:t xml:space="preserve"> in TS 38.133 clause 3.6.9</w:t>
      </w:r>
    </w:p>
    <w:tbl>
      <w:tblPr>
        <w:tblStyle w:val="aff"/>
        <w:tblW w:w="0" w:type="auto"/>
        <w:tblLook w:val="04A0" w:firstRow="1" w:lastRow="0" w:firstColumn="1" w:lastColumn="0" w:noHBand="0" w:noVBand="1"/>
      </w:tblPr>
      <w:tblGrid>
        <w:gridCol w:w="9629"/>
      </w:tblGrid>
      <w:tr w:rsidR="00F10890" w14:paraId="297D968A" w14:textId="77777777" w:rsidTr="00F10890">
        <w:tc>
          <w:tcPr>
            <w:tcW w:w="9629" w:type="dxa"/>
          </w:tcPr>
          <w:p w14:paraId="1566F2CE" w14:textId="1AAD648B" w:rsidR="00F10890" w:rsidRPr="00F10890" w:rsidRDefault="00F10890" w:rsidP="00F10890">
            <w:pPr>
              <w:snapToGrid w:val="0"/>
              <w:spacing w:beforeLines="50" w:before="120" w:afterLines="50" w:after="120"/>
            </w:pPr>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proofErr w:type="spellStart"/>
            <w:r w:rsidRPr="00843E85">
              <w:rPr>
                <w:i/>
              </w:rPr>
              <w:t>simultaneousRxTxInterBandCA</w:t>
            </w:r>
            <w:proofErr w:type="spellEnd"/>
            <w:r w:rsidRPr="00843E85">
              <w:t>.</w:t>
            </w:r>
          </w:p>
        </w:tc>
      </w:tr>
    </w:tbl>
    <w:p w14:paraId="5A34307F" w14:textId="0FC64309" w:rsidR="00F35FC3" w:rsidRDefault="002D19F0" w:rsidP="00986D7A">
      <w:pPr>
        <w:snapToGrid w:val="0"/>
        <w:spacing w:before="180"/>
        <w:jc w:val="both"/>
      </w:pPr>
      <w:r w:rsidRPr="00DE6D49">
        <w:rPr>
          <w:rFonts w:hint="eastAsia"/>
          <w:b/>
          <w:u w:val="single"/>
        </w:rPr>
        <w:t>F</w:t>
      </w:r>
      <w:r w:rsidRPr="00DE6D49">
        <w:rPr>
          <w:b/>
          <w:u w:val="single"/>
        </w:rPr>
        <w:t xml:space="preserve">or </w:t>
      </w:r>
      <w:r w:rsidRPr="005A75F4">
        <w:rPr>
          <w:b/>
          <w:u w:val="single"/>
        </w:rPr>
        <w:t>FDD-FDD</w:t>
      </w:r>
      <w:r w:rsidRPr="00DE6D49">
        <w:rPr>
          <w:b/>
          <w:u w:val="single"/>
        </w:rPr>
        <w:t xml:space="preserve"> inter-band CA</w:t>
      </w:r>
      <w:r w:rsidRPr="002D19F0">
        <w:t xml:space="preserve">, </w:t>
      </w:r>
      <w:r w:rsidR="00F35FC3">
        <w:t xml:space="preserve">it was concluded that </w:t>
      </w:r>
      <w:r w:rsidR="00F35FC3" w:rsidRPr="00F35FC3">
        <w:t>simultaneous Rx-Tx is mandatory without signalling</w:t>
      </w:r>
      <w:r w:rsidR="006E458D">
        <w:t>.</w:t>
      </w:r>
      <w:r w:rsidR="00184DF4">
        <w:t xml:space="preserve"> The exception</w:t>
      </w:r>
      <w:r w:rsidR="00160F0A">
        <w:t>s</w:t>
      </w:r>
      <w:r w:rsidR="00184DF4">
        <w:t xml:space="preserve"> should be considered. The frequency range of UL in band n8 and DL in band n5 is overlapped, and it is impossible to implement simultaneous (n5DL, n8UL).</w:t>
      </w:r>
      <w:r w:rsidR="00F37352">
        <w:t xml:space="preserve"> Meanwhile, simultaneous (n5UL, n8DL) can be supported by default.</w:t>
      </w:r>
      <w:r w:rsidR="0072682B">
        <w:t xml:space="preserve"> In RAN4#113, RAN4 sent LS</w:t>
      </w:r>
      <w:r w:rsidR="008B06EE">
        <w:t xml:space="preserve"> </w:t>
      </w:r>
      <w:r w:rsidR="00B30DE3">
        <w:t>[</w:t>
      </w:r>
      <w:r w:rsidR="00291E2A">
        <w:t>4</w:t>
      </w:r>
      <w:r w:rsidR="00B30DE3">
        <w:t>]</w:t>
      </w:r>
      <w:r w:rsidR="0072682B">
        <w:t xml:space="preserve"> to RAN2</w:t>
      </w:r>
      <w:r w:rsidR="00BA2B0D">
        <w:t xml:space="preserve"> to ask necessary modification in RAN2 spec and/or add UE capability to enable the functionality of different simultaneous Rx-Tx capability for </w:t>
      </w:r>
      <w:r w:rsidR="00BA2B0D">
        <w:rPr>
          <w:lang w:val="en-US"/>
        </w:rPr>
        <w:t>(n5UL, n8DL) and (n8UL, n5DL) in CA_n5-n8 with two FDD bands frequency range partially overlap</w:t>
      </w:r>
      <w:r w:rsidR="008460DE">
        <w:rPr>
          <w:lang w:val="en-US"/>
        </w:rPr>
        <w:t>.</w:t>
      </w:r>
    </w:p>
    <w:p w14:paraId="5ACDC9AC" w14:textId="1D593199" w:rsidR="003D07D5" w:rsidRDefault="00BD6FF8" w:rsidP="003D07D5">
      <w:pPr>
        <w:keepNext/>
        <w:spacing w:before="180"/>
        <w:jc w:val="center"/>
      </w:pPr>
      <w:r>
        <w:rPr>
          <w:noProof/>
        </w:rPr>
        <w:drawing>
          <wp:inline distT="0" distB="0" distL="0" distR="0" wp14:anchorId="6BDEB8AD" wp14:editId="5A5FC858">
            <wp:extent cx="6064250" cy="1495425"/>
            <wp:effectExtent l="0" t="0" r="2540" b="5080"/>
            <wp:docPr id="1423361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36136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064250" cy="1495425"/>
                    </a:xfrm>
                    <a:prstGeom prst="rect">
                      <a:avLst/>
                    </a:prstGeom>
                    <a:noFill/>
                  </pic:spPr>
                </pic:pic>
              </a:graphicData>
            </a:graphic>
          </wp:inline>
        </w:drawing>
      </w:r>
    </w:p>
    <w:p w14:paraId="6D6ADE2F" w14:textId="1ADD9982" w:rsidR="00184DF4" w:rsidRDefault="003D07D5" w:rsidP="003D07D5">
      <w:pPr>
        <w:pStyle w:val="ae"/>
        <w:jc w:val="center"/>
      </w:pPr>
      <w:r>
        <w:t xml:space="preserve">Figure </w:t>
      </w:r>
      <w:r>
        <w:fldChar w:fldCharType="begin"/>
      </w:r>
      <w:r>
        <w:instrText xml:space="preserve"> SEQ Figure \* ARABIC </w:instrText>
      </w:r>
      <w:r>
        <w:fldChar w:fldCharType="separate"/>
      </w:r>
      <w:r w:rsidR="00187FCD">
        <w:rPr>
          <w:noProof/>
        </w:rPr>
        <w:t>1</w:t>
      </w:r>
      <w:r>
        <w:fldChar w:fldCharType="end"/>
      </w:r>
      <w:r>
        <w:t xml:space="preserve"> </w:t>
      </w:r>
      <w:r w:rsidR="00BD6FF8">
        <w:t>Two possible operations</w:t>
      </w:r>
      <w:r>
        <w:t xml:space="preserve"> illustration for CA_n5-n8</w:t>
      </w:r>
    </w:p>
    <w:p w14:paraId="0AF962E1" w14:textId="7096614B" w:rsidR="00F10890" w:rsidRDefault="00F10890" w:rsidP="00F10890">
      <w:pPr>
        <w:snapToGrid w:val="0"/>
        <w:spacing w:beforeLines="50" w:before="120" w:after="0"/>
      </w:pPr>
      <w:r>
        <w:rPr>
          <w:b/>
          <w:u w:val="single"/>
        </w:rPr>
        <w:t>Continue discuss UL CA for CA_n5-n8 in Rel-19:</w:t>
      </w:r>
    </w:p>
    <w:p w14:paraId="6FAAD803" w14:textId="7287BB3B" w:rsidR="006B16E1" w:rsidRDefault="006B16E1" w:rsidP="00986D7A">
      <w:pPr>
        <w:snapToGrid w:val="0"/>
        <w:spacing w:before="120" w:after="0"/>
        <w:jc w:val="both"/>
        <w:rPr>
          <w:color w:val="000000"/>
        </w:rPr>
      </w:pPr>
      <w:r>
        <w:rPr>
          <w:rFonts w:hint="eastAsia"/>
          <w:color w:val="000000"/>
        </w:rPr>
        <w:t>T</w:t>
      </w:r>
      <w:r>
        <w:rPr>
          <w:color w:val="000000"/>
        </w:rPr>
        <w:t>o support case 1 and case 2 via RRC reconfiguration</w:t>
      </w:r>
      <w:r w:rsidR="00AD5D8D">
        <w:rPr>
          <w:color w:val="000000"/>
        </w:rPr>
        <w:t xml:space="preserve"> in [2]</w:t>
      </w:r>
      <w:r>
        <w:rPr>
          <w:color w:val="000000"/>
        </w:rPr>
        <w:t>, the pre-requisite is to implement cross carrier scheduling. In Huawei network product</w:t>
      </w:r>
      <w:r w:rsidR="00046905">
        <w:rPr>
          <w:color w:val="000000"/>
        </w:rPr>
        <w:t>s</w:t>
      </w:r>
      <w:r>
        <w:rPr>
          <w:color w:val="000000"/>
        </w:rPr>
        <w:t xml:space="preserve"> and </w:t>
      </w:r>
      <w:proofErr w:type="spellStart"/>
      <w:r>
        <w:rPr>
          <w:color w:val="000000"/>
        </w:rPr>
        <w:t>HiSilicon</w:t>
      </w:r>
      <w:proofErr w:type="spellEnd"/>
      <w:r>
        <w:rPr>
          <w:color w:val="000000"/>
        </w:rPr>
        <w:t xml:space="preserve"> chipset</w:t>
      </w:r>
      <w:r w:rsidR="00046905">
        <w:rPr>
          <w:color w:val="000000"/>
        </w:rPr>
        <w:t>s</w:t>
      </w:r>
      <w:r>
        <w:rPr>
          <w:color w:val="000000"/>
        </w:rPr>
        <w:t xml:space="preserve"> after Rel-18, the single-DCI feature is supported. The feature is to enable s</w:t>
      </w:r>
      <w:r w:rsidRPr="006B16E1">
        <w:rPr>
          <w:color w:val="000000"/>
        </w:rPr>
        <w:t>ingle DCI scheduling multiple PDSCHs</w:t>
      </w:r>
      <w:r>
        <w:rPr>
          <w:color w:val="000000"/>
        </w:rPr>
        <w:t xml:space="preserve"> or multiple PUSCHs</w:t>
      </w:r>
      <w:r w:rsidRPr="006B16E1">
        <w:rPr>
          <w:color w:val="000000"/>
        </w:rPr>
        <w:t xml:space="preserve"> over multi-carriers</w:t>
      </w:r>
      <w:r>
        <w:rPr>
          <w:color w:val="000000"/>
        </w:rPr>
        <w:t>.</w:t>
      </w:r>
    </w:p>
    <w:p w14:paraId="53A4D301" w14:textId="38BDEA87" w:rsidR="00AD5D8D" w:rsidRDefault="00AD5D8D" w:rsidP="00291E2A">
      <w:pPr>
        <w:pStyle w:val="ae"/>
        <w:rPr>
          <w:color w:val="000000"/>
        </w:rPr>
      </w:pPr>
      <w:bookmarkStart w:id="3" w:name="_Ref206167569"/>
      <w:r w:rsidRPr="00AD5D8D">
        <w:rPr>
          <w:i/>
        </w:rPr>
        <w:t xml:space="preserve">Observation </w:t>
      </w:r>
      <w:r w:rsidRPr="00AD5D8D">
        <w:rPr>
          <w:i/>
        </w:rPr>
        <w:fldChar w:fldCharType="begin"/>
      </w:r>
      <w:r w:rsidRPr="00AD5D8D">
        <w:rPr>
          <w:i/>
        </w:rPr>
        <w:instrText xml:space="preserve"> SEQ Observation \* ARABIC </w:instrText>
      </w:r>
      <w:r w:rsidRPr="00AD5D8D">
        <w:rPr>
          <w:i/>
        </w:rPr>
        <w:fldChar w:fldCharType="separate"/>
      </w:r>
      <w:r w:rsidRPr="00AD5D8D">
        <w:rPr>
          <w:i/>
          <w:noProof/>
        </w:rPr>
        <w:t>1</w:t>
      </w:r>
      <w:r w:rsidRPr="00AD5D8D">
        <w:rPr>
          <w:i/>
        </w:rPr>
        <w:fldChar w:fldCharType="end"/>
      </w:r>
      <w:r w:rsidRPr="00AD5D8D">
        <w:rPr>
          <w:i/>
        </w:rPr>
        <w:t xml:space="preserve">: The implementation of Single-DCI feature enables the </w:t>
      </w:r>
      <w:proofErr w:type="gramStart"/>
      <w:r w:rsidRPr="00AD5D8D">
        <w:rPr>
          <w:i/>
        </w:rPr>
        <w:t>cross carrier</w:t>
      </w:r>
      <w:proofErr w:type="gramEnd"/>
      <w:r w:rsidRPr="00AD5D8D">
        <w:rPr>
          <w:i/>
        </w:rPr>
        <w:t xml:space="preserve"> scheduling to support case 1 in the scheme of WF in the last meeting.</w:t>
      </w:r>
      <w:bookmarkEnd w:id="3"/>
    </w:p>
    <w:p w14:paraId="065B32D8" w14:textId="7A135B5C" w:rsidR="00E42B0F" w:rsidRDefault="00E42B0F" w:rsidP="00986D7A">
      <w:pPr>
        <w:snapToGrid w:val="0"/>
        <w:spacing w:before="120" w:after="0"/>
        <w:jc w:val="both"/>
        <w:rPr>
          <w:color w:val="000000"/>
        </w:rPr>
      </w:pPr>
      <w:r w:rsidRPr="00E42B0F">
        <w:rPr>
          <w:color w:val="000000"/>
        </w:rPr>
        <w:t xml:space="preserve">RAN4 conducted studies in Rel-18 on enhancements for 700/800/900MHz band combinations. The studies concluded that three options are feasible for implementing the CA_n5-n8 band combination, as detailed in TR 38.872.: </w:t>
      </w:r>
    </w:p>
    <w:tbl>
      <w:tblPr>
        <w:tblStyle w:val="aff"/>
        <w:tblW w:w="0" w:type="auto"/>
        <w:tblLook w:val="04A0" w:firstRow="1" w:lastRow="0" w:firstColumn="1" w:lastColumn="0" w:noHBand="0" w:noVBand="1"/>
      </w:tblPr>
      <w:tblGrid>
        <w:gridCol w:w="9629"/>
      </w:tblGrid>
      <w:tr w:rsidR="005C3EB0" w14:paraId="5D32FCB3" w14:textId="77777777" w:rsidTr="005C3EB0">
        <w:tc>
          <w:tcPr>
            <w:tcW w:w="9629" w:type="dxa"/>
          </w:tcPr>
          <w:p w14:paraId="583576B8" w14:textId="77777777" w:rsidR="005C3EB0" w:rsidRPr="00E42B0F" w:rsidRDefault="005C3EB0" w:rsidP="005C3EB0">
            <w:pPr>
              <w:snapToGrid w:val="0"/>
              <w:spacing w:before="120" w:after="0"/>
              <w:jc w:val="both"/>
              <w:rPr>
                <w:color w:val="000000"/>
              </w:rPr>
            </w:pPr>
            <w:r w:rsidRPr="00E42B0F">
              <w:rPr>
                <w:color w:val="000000"/>
              </w:rPr>
              <w:t>1) Full band n5 and n8 RF filters implementation with option 1 and option2:</w:t>
            </w:r>
          </w:p>
          <w:p w14:paraId="16184A3C" w14:textId="77777777" w:rsidR="005C3EB0" w:rsidRPr="00E42B0F" w:rsidRDefault="005C3EB0" w:rsidP="005C3EB0">
            <w:pPr>
              <w:snapToGrid w:val="0"/>
              <w:spacing w:before="120" w:after="0"/>
              <w:ind w:left="311"/>
              <w:jc w:val="both"/>
              <w:rPr>
                <w:color w:val="000000"/>
              </w:rPr>
            </w:pPr>
            <w:r w:rsidRPr="00E42B0F">
              <w:rPr>
                <w:color w:val="000000"/>
              </w:rPr>
              <w:t>- Option 1: Only support 1UL/2DL CA. Single UL in n5</w:t>
            </w:r>
          </w:p>
          <w:p w14:paraId="3CE4AE06" w14:textId="77777777" w:rsidR="005C3EB0" w:rsidRPr="00E42B0F" w:rsidRDefault="005C3EB0" w:rsidP="005C3EB0">
            <w:pPr>
              <w:snapToGrid w:val="0"/>
              <w:spacing w:before="120" w:after="0"/>
              <w:ind w:left="311"/>
              <w:jc w:val="both"/>
              <w:rPr>
                <w:color w:val="000000"/>
              </w:rPr>
            </w:pPr>
            <w:r w:rsidRPr="00E42B0F">
              <w:rPr>
                <w:color w:val="000000"/>
              </w:rPr>
              <w:t>- Option 2: Support both 1UL/2DL and 2UL/2DL CA. Non-concurrent n5 DL and n8 UL</w:t>
            </w:r>
          </w:p>
          <w:p w14:paraId="2BF4E7EF" w14:textId="77777777" w:rsidR="005C3EB0" w:rsidRPr="00E42B0F" w:rsidRDefault="005C3EB0" w:rsidP="005C3EB0">
            <w:pPr>
              <w:snapToGrid w:val="0"/>
              <w:spacing w:before="120" w:after="0"/>
              <w:ind w:left="27"/>
              <w:jc w:val="both"/>
              <w:rPr>
                <w:color w:val="000000"/>
              </w:rPr>
            </w:pPr>
            <w:r w:rsidRPr="00E42B0F">
              <w:rPr>
                <w:color w:val="000000"/>
              </w:rPr>
              <w:t>2) Dedicated RF filters implementation with partial frequency range</w:t>
            </w:r>
          </w:p>
          <w:p w14:paraId="641D903A" w14:textId="5DD0A45A" w:rsidR="005C3EB0" w:rsidRDefault="005C3EB0" w:rsidP="005C3EB0">
            <w:pPr>
              <w:snapToGrid w:val="0"/>
              <w:spacing w:before="120" w:afterLines="50" w:after="120"/>
              <w:ind w:left="1304" w:hanging="992"/>
              <w:jc w:val="both"/>
              <w:rPr>
                <w:rFonts w:eastAsia="等线"/>
              </w:rPr>
            </w:pPr>
            <w:r w:rsidRPr="00E42B0F">
              <w:rPr>
                <w:color w:val="000000"/>
              </w:rPr>
              <w:t>- Option 3: Support both 1UL/2DL and 2UL/2DL CA. Dedicated filter to allow simultaneous n5 DL and n8 UL without any scheduling restriction on both bands.</w:t>
            </w:r>
          </w:p>
        </w:tc>
      </w:tr>
    </w:tbl>
    <w:p w14:paraId="23363202" w14:textId="006F6C2D" w:rsidR="00F44E26" w:rsidRPr="00F44E26" w:rsidRDefault="008460DE" w:rsidP="00152C30">
      <w:pPr>
        <w:pStyle w:val="ae"/>
        <w:snapToGrid w:val="0"/>
        <w:jc w:val="both"/>
        <w:rPr>
          <w:rFonts w:eastAsiaTheme="minorEastAsia"/>
          <w:b w:val="0"/>
          <w:lang w:eastAsia="zh-CN"/>
        </w:rPr>
      </w:pPr>
      <w:r w:rsidRPr="00F44E26">
        <w:rPr>
          <w:rFonts w:hint="eastAsia"/>
          <w:b w:val="0"/>
        </w:rPr>
        <w:t>I</w:t>
      </w:r>
      <w:r w:rsidRPr="00F44E26">
        <w:rPr>
          <w:b w:val="0"/>
        </w:rPr>
        <w:t>n [</w:t>
      </w:r>
      <w:r w:rsidR="00291E2A">
        <w:rPr>
          <w:b w:val="0"/>
        </w:rPr>
        <w:t>5</w:t>
      </w:r>
      <w:r w:rsidRPr="00F44E26">
        <w:rPr>
          <w:b w:val="0"/>
        </w:rPr>
        <w:t>]</w:t>
      </w:r>
      <w:r w:rsidR="008A2ECD" w:rsidRPr="00F44E26">
        <w:rPr>
          <w:b w:val="0"/>
        </w:rPr>
        <w:t xml:space="preserve">, </w:t>
      </w:r>
      <w:r w:rsidR="00BA130C" w:rsidRPr="00F44E26">
        <w:rPr>
          <w:b w:val="0"/>
        </w:rPr>
        <w:t xml:space="preserve">it was pointed out that </w:t>
      </w:r>
      <w:r w:rsidR="00BA130C" w:rsidRPr="00F44E26">
        <w:rPr>
          <w:rFonts w:eastAsia="宋体"/>
          <w:b w:val="0"/>
          <w:color w:val="000000"/>
          <w:lang w:eastAsia="zh-CN"/>
        </w:rPr>
        <w:t xml:space="preserve">standardizing Option 2 in Rel-19 </w:t>
      </w:r>
      <w:r w:rsidR="00BA130C" w:rsidRPr="00F44E26">
        <w:rPr>
          <w:rFonts w:eastAsia="宋体"/>
          <w:b w:val="0"/>
          <w:color w:val="000000"/>
          <w:lang w:val="en-US" w:eastAsia="zh-CN"/>
        </w:rPr>
        <w:t xml:space="preserve">may </w:t>
      </w:r>
      <w:r w:rsidR="00BA130C" w:rsidRPr="00F44E26">
        <w:rPr>
          <w:rFonts w:eastAsia="宋体"/>
          <w:b w:val="0"/>
          <w:color w:val="000000"/>
          <w:lang w:eastAsia="zh-CN"/>
        </w:rPr>
        <w:t>require a future-proof signal</w:t>
      </w:r>
      <w:r w:rsidR="00BA130C" w:rsidRPr="00F44E26">
        <w:rPr>
          <w:b w:val="0"/>
          <w:color w:val="000000"/>
        </w:rPr>
        <w:t>l</w:t>
      </w:r>
      <w:r w:rsidR="00BA130C" w:rsidRPr="00F44E26">
        <w:rPr>
          <w:rFonts w:eastAsia="宋体"/>
          <w:b w:val="0"/>
          <w:color w:val="000000"/>
          <w:lang w:eastAsia="zh-CN"/>
        </w:rPr>
        <w:t xml:space="preserve">ing design to support that the capabilities for the simultaneous operation </w:t>
      </w:r>
      <w:r w:rsidR="00BA130C" w:rsidRPr="00F44E26">
        <w:rPr>
          <w:rFonts w:eastAsia="宋体"/>
          <w:b w:val="0"/>
          <w:color w:val="000000"/>
          <w:lang w:val="en-US" w:eastAsia="zh-CN"/>
        </w:rPr>
        <w:t xml:space="preserve">in case more similar NR FDD-FDD inter-band CA band combinations where </w:t>
      </w:r>
      <w:r w:rsidR="00BA130C" w:rsidRPr="00F44E26">
        <w:rPr>
          <w:rFonts w:eastAsia="宋体"/>
          <w:b w:val="0"/>
          <w:color w:val="000000"/>
          <w:lang w:eastAsia="zh-CN"/>
        </w:rPr>
        <w:t>UL and DL from different FDD bands partially overlap</w:t>
      </w:r>
      <w:r w:rsidR="00BA130C" w:rsidRPr="00F44E26">
        <w:rPr>
          <w:rFonts w:eastAsia="宋体"/>
          <w:b w:val="0"/>
          <w:color w:val="000000"/>
          <w:lang w:val="en-US" w:eastAsia="zh-CN"/>
        </w:rPr>
        <w:t xml:space="preserve"> are introduced</w:t>
      </w:r>
      <w:r w:rsidR="00BA130C" w:rsidRPr="00F44E26">
        <w:rPr>
          <w:rFonts w:eastAsia="宋体"/>
          <w:b w:val="0"/>
          <w:color w:val="000000"/>
          <w:lang w:eastAsia="zh-CN"/>
        </w:rPr>
        <w:t xml:space="preserve">, as requested in the original LS </w:t>
      </w:r>
      <w:r w:rsidR="00986D7A" w:rsidRPr="00F44E26">
        <w:rPr>
          <w:b w:val="0"/>
          <w:color w:val="000000"/>
        </w:rPr>
        <w:t>[</w:t>
      </w:r>
      <w:r w:rsidR="00291E2A">
        <w:rPr>
          <w:b w:val="0"/>
          <w:color w:val="000000"/>
        </w:rPr>
        <w:t>4</w:t>
      </w:r>
      <w:r w:rsidR="00986D7A" w:rsidRPr="00F44E26">
        <w:rPr>
          <w:b w:val="0"/>
          <w:color w:val="000000"/>
        </w:rPr>
        <w:t>]</w:t>
      </w:r>
      <w:r w:rsidR="00BA130C" w:rsidRPr="00F44E26">
        <w:rPr>
          <w:rFonts w:eastAsia="宋体"/>
          <w:b w:val="0"/>
          <w:color w:val="000000"/>
          <w:lang w:eastAsia="zh-CN"/>
        </w:rPr>
        <w:t>.</w:t>
      </w:r>
      <w:r w:rsidR="00986D7A" w:rsidRPr="00F44E26">
        <w:rPr>
          <w:b w:val="0"/>
          <w:color w:val="000000"/>
        </w:rPr>
        <w:t xml:space="preserve"> The only workload to RAN2 would be to introduce a capability differentiating simultaneous Rx-Tx capability for (</w:t>
      </w:r>
      <w:proofErr w:type="spellStart"/>
      <w:r w:rsidR="00986D7A" w:rsidRPr="00F44E26">
        <w:rPr>
          <w:b w:val="0"/>
          <w:color w:val="000000"/>
        </w:rPr>
        <w:t>nA</w:t>
      </w:r>
      <w:proofErr w:type="spellEnd"/>
      <w:r w:rsidR="00986D7A" w:rsidRPr="00F44E26">
        <w:rPr>
          <w:b w:val="0"/>
          <w:color w:val="000000"/>
        </w:rPr>
        <w:t xml:space="preserve"> UL, </w:t>
      </w:r>
      <w:proofErr w:type="spellStart"/>
      <w:r w:rsidR="00986D7A" w:rsidRPr="00F44E26">
        <w:rPr>
          <w:b w:val="0"/>
          <w:color w:val="000000"/>
        </w:rPr>
        <w:t>nB</w:t>
      </w:r>
      <w:proofErr w:type="spellEnd"/>
      <w:r w:rsidR="00986D7A" w:rsidRPr="00F44E26">
        <w:rPr>
          <w:b w:val="0"/>
          <w:color w:val="000000"/>
        </w:rPr>
        <w:t xml:space="preserve"> </w:t>
      </w:r>
      <w:r w:rsidR="00986D7A" w:rsidRPr="00F44E26">
        <w:rPr>
          <w:b w:val="0"/>
          <w:color w:val="000000"/>
        </w:rPr>
        <w:lastRenderedPageBreak/>
        <w:t>DL) and (</w:t>
      </w:r>
      <w:proofErr w:type="spellStart"/>
      <w:r w:rsidR="00986D7A" w:rsidRPr="00F44E26">
        <w:rPr>
          <w:b w:val="0"/>
          <w:color w:val="000000"/>
        </w:rPr>
        <w:t>nA</w:t>
      </w:r>
      <w:proofErr w:type="spellEnd"/>
      <w:r w:rsidR="00986D7A" w:rsidRPr="00F44E26">
        <w:rPr>
          <w:b w:val="0"/>
          <w:color w:val="000000"/>
        </w:rPr>
        <w:t xml:space="preserve"> DL, </w:t>
      </w:r>
      <w:proofErr w:type="spellStart"/>
      <w:r w:rsidR="00986D7A" w:rsidRPr="00F44E26">
        <w:rPr>
          <w:b w:val="0"/>
          <w:color w:val="000000"/>
        </w:rPr>
        <w:t>nB</w:t>
      </w:r>
      <w:proofErr w:type="spellEnd"/>
      <w:r w:rsidR="00986D7A" w:rsidRPr="00F44E26">
        <w:rPr>
          <w:b w:val="0"/>
          <w:color w:val="000000"/>
        </w:rPr>
        <w:t xml:space="preserve"> UL).</w:t>
      </w:r>
      <w:r w:rsidR="00F44E26" w:rsidRPr="00F44E26">
        <w:rPr>
          <w:rFonts w:eastAsiaTheme="minorEastAsia"/>
          <w:b w:val="0"/>
          <w:lang w:eastAsia="zh-CN"/>
        </w:rPr>
        <w:t xml:space="preserve"> If </w:t>
      </w:r>
      <w:r w:rsidR="00F44E26">
        <w:rPr>
          <w:rFonts w:eastAsiaTheme="minorEastAsia"/>
          <w:b w:val="0"/>
          <w:lang w:eastAsia="zh-CN"/>
        </w:rPr>
        <w:t>some</w:t>
      </w:r>
      <w:r w:rsidR="00F44E26" w:rsidRPr="00F44E26">
        <w:rPr>
          <w:rFonts w:eastAsiaTheme="minorEastAsia"/>
          <w:b w:val="0"/>
          <w:lang w:eastAsia="zh-CN"/>
        </w:rPr>
        <w:t xml:space="preserve"> day, the dedicated filter is implemented and enable the simultaneous (</w:t>
      </w:r>
      <w:proofErr w:type="spellStart"/>
      <w:r w:rsidR="00F44E26" w:rsidRPr="00F44E26">
        <w:rPr>
          <w:rFonts w:eastAsiaTheme="minorEastAsia"/>
          <w:b w:val="0"/>
          <w:lang w:eastAsia="zh-CN"/>
        </w:rPr>
        <w:t>nA</w:t>
      </w:r>
      <w:proofErr w:type="spellEnd"/>
      <w:r w:rsidR="00F44E26" w:rsidRPr="00F44E26">
        <w:rPr>
          <w:rFonts w:eastAsiaTheme="minorEastAsia"/>
          <w:b w:val="0"/>
          <w:lang w:eastAsia="zh-CN"/>
        </w:rPr>
        <w:t xml:space="preserve"> UL, </w:t>
      </w:r>
      <w:proofErr w:type="spellStart"/>
      <w:r w:rsidR="00F44E26" w:rsidRPr="00F44E26">
        <w:rPr>
          <w:rFonts w:eastAsiaTheme="minorEastAsia"/>
          <w:b w:val="0"/>
          <w:lang w:eastAsia="zh-CN"/>
        </w:rPr>
        <w:t>nB</w:t>
      </w:r>
      <w:proofErr w:type="spellEnd"/>
      <w:r w:rsidR="00F44E26" w:rsidRPr="00F44E26">
        <w:rPr>
          <w:rFonts w:eastAsiaTheme="minorEastAsia"/>
          <w:b w:val="0"/>
          <w:lang w:eastAsia="zh-CN"/>
        </w:rPr>
        <w:t xml:space="preserve"> DL). The forward-compatibility should be considered.</w:t>
      </w:r>
      <w:r w:rsidR="00846ED5">
        <w:rPr>
          <w:rFonts w:eastAsiaTheme="minorEastAsia"/>
          <w:b w:val="0"/>
          <w:lang w:eastAsia="zh-CN"/>
        </w:rPr>
        <w:t xml:space="preserve"> Without simultaneous Rx-Tx between n5 DL and n8 UL, the scheduling restriction would be applied according to RRM spec. No switching behaviour is required in Rel-19.</w:t>
      </w:r>
    </w:p>
    <w:p w14:paraId="6788EBE7" w14:textId="509D2E10" w:rsidR="00986D7A" w:rsidRDefault="000A02B6" w:rsidP="008927A4">
      <w:pPr>
        <w:pStyle w:val="ae"/>
        <w:rPr>
          <w:i/>
          <w:color w:val="000000"/>
        </w:rPr>
      </w:pPr>
      <w:bookmarkStart w:id="4" w:name="_Ref197700715"/>
      <w:r w:rsidRPr="001F2A1E">
        <w:rPr>
          <w:i/>
        </w:rPr>
        <w:t xml:space="preserve">Proposal </w:t>
      </w:r>
      <w:r w:rsidRPr="001F2A1E">
        <w:rPr>
          <w:i/>
        </w:rPr>
        <w:fldChar w:fldCharType="begin"/>
      </w:r>
      <w:r w:rsidRPr="001F2A1E">
        <w:rPr>
          <w:i/>
        </w:rPr>
        <w:instrText xml:space="preserve"> SEQ Proposal \* ARABIC </w:instrText>
      </w:r>
      <w:r w:rsidRPr="001F2A1E">
        <w:rPr>
          <w:i/>
        </w:rPr>
        <w:fldChar w:fldCharType="separate"/>
      </w:r>
      <w:r w:rsidR="00AD5E5A">
        <w:rPr>
          <w:i/>
          <w:noProof/>
        </w:rPr>
        <w:t>1</w:t>
      </w:r>
      <w:r w:rsidRPr="001F2A1E">
        <w:rPr>
          <w:i/>
        </w:rPr>
        <w:fldChar w:fldCharType="end"/>
      </w:r>
      <w:r w:rsidRPr="001F2A1E">
        <w:rPr>
          <w:i/>
        </w:rPr>
        <w:t>:</w:t>
      </w:r>
      <w:r w:rsidR="008927A4" w:rsidRPr="001F2A1E">
        <w:rPr>
          <w:i/>
        </w:rPr>
        <w:t xml:space="preserve"> To </w:t>
      </w:r>
      <w:r w:rsidR="001F2A1E" w:rsidRPr="001F2A1E">
        <w:rPr>
          <w:i/>
        </w:rPr>
        <w:t xml:space="preserve">support UL CA for CA_n5-n8 in Rel-19, a future proof capability </w:t>
      </w:r>
      <w:r w:rsidR="001F2A1E" w:rsidRPr="001F2A1E">
        <w:rPr>
          <w:i/>
          <w:color w:val="000000"/>
        </w:rPr>
        <w:t>differentiating simultaneous Rx-Tx capability for (</w:t>
      </w:r>
      <w:proofErr w:type="spellStart"/>
      <w:r w:rsidR="001F2A1E" w:rsidRPr="001F2A1E">
        <w:rPr>
          <w:i/>
          <w:color w:val="000000"/>
        </w:rPr>
        <w:t>nA</w:t>
      </w:r>
      <w:proofErr w:type="spellEnd"/>
      <w:r w:rsidR="001F2A1E" w:rsidRPr="001F2A1E">
        <w:rPr>
          <w:i/>
          <w:color w:val="000000"/>
        </w:rPr>
        <w:t xml:space="preserve"> UL, </w:t>
      </w:r>
      <w:proofErr w:type="spellStart"/>
      <w:r w:rsidR="001F2A1E" w:rsidRPr="001F2A1E">
        <w:rPr>
          <w:i/>
          <w:color w:val="000000"/>
        </w:rPr>
        <w:t>nB</w:t>
      </w:r>
      <w:proofErr w:type="spellEnd"/>
      <w:r w:rsidR="001F2A1E" w:rsidRPr="001F2A1E">
        <w:rPr>
          <w:i/>
          <w:color w:val="000000"/>
        </w:rPr>
        <w:t xml:space="preserve"> DL) and (</w:t>
      </w:r>
      <w:proofErr w:type="spellStart"/>
      <w:r w:rsidR="001F2A1E" w:rsidRPr="001F2A1E">
        <w:rPr>
          <w:i/>
          <w:color w:val="000000"/>
        </w:rPr>
        <w:t>nA</w:t>
      </w:r>
      <w:proofErr w:type="spellEnd"/>
      <w:r w:rsidR="001F2A1E" w:rsidRPr="001F2A1E">
        <w:rPr>
          <w:i/>
          <w:color w:val="000000"/>
        </w:rPr>
        <w:t xml:space="preserve"> DL, </w:t>
      </w:r>
      <w:proofErr w:type="spellStart"/>
      <w:r w:rsidR="001F2A1E" w:rsidRPr="001F2A1E">
        <w:rPr>
          <w:i/>
          <w:color w:val="000000"/>
        </w:rPr>
        <w:t>nB</w:t>
      </w:r>
      <w:proofErr w:type="spellEnd"/>
      <w:r w:rsidR="001F2A1E" w:rsidRPr="001F2A1E">
        <w:rPr>
          <w:i/>
          <w:color w:val="000000"/>
        </w:rPr>
        <w:t xml:space="preserve"> UL)</w:t>
      </w:r>
      <w:r w:rsidR="00F44E26">
        <w:rPr>
          <w:i/>
          <w:color w:val="000000"/>
        </w:rPr>
        <w:t>,</w:t>
      </w:r>
      <w:r w:rsidR="001F2A1E" w:rsidRPr="001F2A1E">
        <w:rPr>
          <w:i/>
          <w:color w:val="000000"/>
        </w:rPr>
        <w:t xml:space="preserve"> is required.</w:t>
      </w:r>
      <w:bookmarkEnd w:id="4"/>
    </w:p>
    <w:p w14:paraId="0477A2A5" w14:textId="37A06132" w:rsidR="009448DE" w:rsidRDefault="009448DE" w:rsidP="00152C30">
      <w:pPr>
        <w:snapToGrid w:val="0"/>
        <w:spacing w:before="120" w:after="120"/>
        <w:jc w:val="both"/>
      </w:pPr>
      <w:r>
        <w:rPr>
          <w:rFonts w:hint="eastAsia"/>
        </w:rPr>
        <w:t>A</w:t>
      </w:r>
      <w:r>
        <w:t xml:space="preserve">fter the introduction of </w:t>
      </w:r>
      <w:r w:rsidR="00AD5E5A">
        <w:t xml:space="preserve">the new capability to differentiate simultaneous Rx-Tx capability for </w:t>
      </w:r>
      <w:r w:rsidR="00AD5E5A" w:rsidRPr="00AD5E5A">
        <w:t>(</w:t>
      </w:r>
      <w:proofErr w:type="spellStart"/>
      <w:r w:rsidR="00AD5E5A" w:rsidRPr="00AD5E5A">
        <w:t>nA</w:t>
      </w:r>
      <w:proofErr w:type="spellEnd"/>
      <w:r w:rsidR="00AD5E5A" w:rsidRPr="00AD5E5A">
        <w:t xml:space="preserve"> UL, </w:t>
      </w:r>
      <w:proofErr w:type="spellStart"/>
      <w:r w:rsidR="00AD5E5A" w:rsidRPr="00AD5E5A">
        <w:t>nB</w:t>
      </w:r>
      <w:proofErr w:type="spellEnd"/>
      <w:r w:rsidR="00AD5E5A" w:rsidRPr="00AD5E5A">
        <w:t xml:space="preserve"> DL) and (</w:t>
      </w:r>
      <w:proofErr w:type="spellStart"/>
      <w:r w:rsidR="00AD5E5A" w:rsidRPr="00AD5E5A">
        <w:t>nA</w:t>
      </w:r>
      <w:proofErr w:type="spellEnd"/>
      <w:r w:rsidR="00AD5E5A" w:rsidRPr="00AD5E5A">
        <w:t xml:space="preserve"> DL, </w:t>
      </w:r>
      <w:proofErr w:type="spellStart"/>
      <w:r w:rsidR="00AD5E5A" w:rsidRPr="00AD5E5A">
        <w:t>nB</w:t>
      </w:r>
      <w:proofErr w:type="spellEnd"/>
      <w:r w:rsidR="00AD5E5A" w:rsidRPr="00AD5E5A">
        <w:t xml:space="preserve"> UL)</w:t>
      </w:r>
      <w:r w:rsidR="00AD5E5A">
        <w:t>, the scheduling availability in RRM spec TS 38.133 can be updated accordingly. No other RRM spec impact is observed.</w:t>
      </w:r>
    </w:p>
    <w:p w14:paraId="1EBD7C0E" w14:textId="54EC976E" w:rsidR="00AD5E5A" w:rsidRPr="00AD5E5A" w:rsidRDefault="00AD5E5A" w:rsidP="00AD5E5A">
      <w:pPr>
        <w:pStyle w:val="ae"/>
        <w:rPr>
          <w:i/>
        </w:rPr>
      </w:pPr>
      <w:bookmarkStart w:id="5" w:name="_Ref206167587"/>
      <w:r w:rsidRPr="00AD5E5A">
        <w:rPr>
          <w:i/>
        </w:rPr>
        <w:t xml:space="preserve">Proposal </w:t>
      </w:r>
      <w:r w:rsidRPr="00AD5E5A">
        <w:rPr>
          <w:i/>
        </w:rPr>
        <w:fldChar w:fldCharType="begin"/>
      </w:r>
      <w:r w:rsidRPr="00AD5E5A">
        <w:rPr>
          <w:i/>
        </w:rPr>
        <w:instrText xml:space="preserve"> SEQ Proposal \* ARABIC </w:instrText>
      </w:r>
      <w:r w:rsidRPr="00AD5E5A">
        <w:rPr>
          <w:i/>
        </w:rPr>
        <w:fldChar w:fldCharType="separate"/>
      </w:r>
      <w:r w:rsidRPr="00AD5E5A">
        <w:rPr>
          <w:i/>
          <w:noProof/>
        </w:rPr>
        <w:t>2</w:t>
      </w:r>
      <w:r w:rsidRPr="00AD5E5A">
        <w:rPr>
          <w:i/>
        </w:rPr>
        <w:fldChar w:fldCharType="end"/>
      </w:r>
      <w:r w:rsidRPr="00AD5E5A">
        <w:rPr>
          <w:i/>
        </w:rPr>
        <w:t>: Scheduling availability in RRM spec TS 38.133 can be updated according to the new capability for simultaneous Rx-Tx to differentiate (</w:t>
      </w:r>
      <w:proofErr w:type="spellStart"/>
      <w:r w:rsidRPr="00AD5E5A">
        <w:rPr>
          <w:i/>
        </w:rPr>
        <w:t>nA</w:t>
      </w:r>
      <w:proofErr w:type="spellEnd"/>
      <w:r w:rsidRPr="00AD5E5A">
        <w:rPr>
          <w:i/>
        </w:rPr>
        <w:t xml:space="preserve"> UL, </w:t>
      </w:r>
      <w:proofErr w:type="spellStart"/>
      <w:r w:rsidRPr="00AD5E5A">
        <w:rPr>
          <w:i/>
        </w:rPr>
        <w:t>nB</w:t>
      </w:r>
      <w:proofErr w:type="spellEnd"/>
      <w:r w:rsidRPr="00AD5E5A">
        <w:rPr>
          <w:i/>
        </w:rPr>
        <w:t xml:space="preserve"> DL) and (</w:t>
      </w:r>
      <w:proofErr w:type="spellStart"/>
      <w:r w:rsidRPr="00AD5E5A">
        <w:rPr>
          <w:i/>
        </w:rPr>
        <w:t>nA</w:t>
      </w:r>
      <w:proofErr w:type="spellEnd"/>
      <w:r w:rsidRPr="00AD5E5A">
        <w:rPr>
          <w:i/>
        </w:rPr>
        <w:t xml:space="preserve"> DL, </w:t>
      </w:r>
      <w:proofErr w:type="spellStart"/>
      <w:r w:rsidRPr="00AD5E5A">
        <w:rPr>
          <w:i/>
        </w:rPr>
        <w:t>nB</w:t>
      </w:r>
      <w:proofErr w:type="spellEnd"/>
      <w:r w:rsidRPr="00AD5E5A">
        <w:rPr>
          <w:i/>
        </w:rPr>
        <w:t xml:space="preserve"> UL). No other RRM spec impact is observed.</w:t>
      </w:r>
      <w:bookmarkEnd w:id="5"/>
    </w:p>
    <w:p w14:paraId="46083BB0" w14:textId="03231EDB" w:rsidR="00884085" w:rsidRPr="00F44E26" w:rsidRDefault="00F37352" w:rsidP="007A3E58">
      <w:pPr>
        <w:pStyle w:val="ae"/>
        <w:rPr>
          <w:b w:val="0"/>
        </w:rPr>
      </w:pPr>
      <w:r w:rsidRPr="00F44E26">
        <w:rPr>
          <w:rFonts w:hint="eastAsia"/>
          <w:b w:val="0"/>
        </w:rPr>
        <w:t>H</w:t>
      </w:r>
      <w:r w:rsidRPr="00F44E26">
        <w:rPr>
          <w:b w:val="0"/>
        </w:rPr>
        <w:t xml:space="preserve">owever, CA_n5-n8 would not be the only FDD-FDD BC that hardly supports simultaneous Rx-Tx. For band combination without sufficient </w:t>
      </w:r>
      <w:r w:rsidR="008877A0" w:rsidRPr="00F44E26">
        <w:rPr>
          <w:b w:val="0"/>
        </w:rPr>
        <w:t xml:space="preserve">separation </w:t>
      </w:r>
      <w:r w:rsidRPr="00F44E26">
        <w:rPr>
          <w:b w:val="0"/>
        </w:rPr>
        <w:t>between DL carrier in one band and UL carrier in the other band, simultaneous DL-</w:t>
      </w:r>
      <w:r w:rsidRPr="00F44E26">
        <w:rPr>
          <w:rFonts w:hint="eastAsia"/>
          <w:b w:val="0"/>
        </w:rPr>
        <w:t>UL</w:t>
      </w:r>
      <w:r w:rsidRPr="00F44E26">
        <w:rPr>
          <w:b w:val="0"/>
        </w:rPr>
        <w:t xml:space="preserve"> operation is difficult. </w:t>
      </w:r>
      <w:r w:rsidR="00C65B87" w:rsidRPr="00F44E26">
        <w:rPr>
          <w:b w:val="0"/>
        </w:rPr>
        <w:t xml:space="preserve">In </w:t>
      </w:r>
      <w:bookmarkStart w:id="6" w:name="_GoBack"/>
      <w:r w:rsidR="00C65B87" w:rsidRPr="00F44E26">
        <w:rPr>
          <w:b w:val="0"/>
        </w:rPr>
        <w:t>[</w:t>
      </w:r>
      <w:bookmarkEnd w:id="6"/>
      <w:r w:rsidR="00291E2A">
        <w:rPr>
          <w:b w:val="0"/>
        </w:rPr>
        <w:t>6</w:t>
      </w:r>
      <w:r w:rsidR="00C65B87" w:rsidRPr="00F44E26">
        <w:rPr>
          <w:b w:val="0"/>
        </w:rPr>
        <w:t>], two operators in North America identify</w:t>
      </w:r>
      <w:r w:rsidR="00B5184E" w:rsidRPr="00F44E26">
        <w:rPr>
          <w:b w:val="0"/>
        </w:rPr>
        <w:t xml:space="preserve"> two sub-1GHz to be aggregated</w:t>
      </w:r>
      <w:r w:rsidRPr="00F44E26">
        <w:rPr>
          <w:b w:val="0"/>
        </w:rPr>
        <w:t>, CA_n26-n106 with 2MHz isolation between n26 DL and n106 UL</w:t>
      </w:r>
      <w:r w:rsidR="00B5184E" w:rsidRPr="00F44E26">
        <w:rPr>
          <w:b w:val="0"/>
        </w:rPr>
        <w:t>.</w:t>
      </w:r>
      <w:r w:rsidRPr="00F44E26">
        <w:rPr>
          <w:b w:val="0"/>
        </w:rPr>
        <w:t xml:space="preserve"> </w:t>
      </w:r>
      <w:r w:rsidR="00B5184E" w:rsidRPr="00F44E26">
        <w:rPr>
          <w:b w:val="0"/>
        </w:rPr>
        <w:t>H</w:t>
      </w:r>
      <w:r w:rsidRPr="00F44E26">
        <w:rPr>
          <w:b w:val="0"/>
        </w:rPr>
        <w:t>ow to design the d</w:t>
      </w:r>
      <w:r w:rsidR="001F3D45" w:rsidRPr="00F44E26">
        <w:rPr>
          <w:b w:val="0"/>
        </w:rPr>
        <w:t>u</w:t>
      </w:r>
      <w:r w:rsidRPr="00F44E26">
        <w:rPr>
          <w:b w:val="0"/>
        </w:rPr>
        <w:t>plexer for the BC is questionable.</w:t>
      </w:r>
      <w:r w:rsidR="003A3374" w:rsidRPr="00F44E26">
        <w:rPr>
          <w:b w:val="0"/>
          <w:noProof/>
        </w:rPr>
        <w:t xml:space="preserve"> </w:t>
      </w:r>
    </w:p>
    <w:p w14:paraId="30702B97" w14:textId="6B7E7056" w:rsidR="00DA40F6" w:rsidRDefault="00B5184E" w:rsidP="00F44E26">
      <w:pPr>
        <w:pStyle w:val="ae"/>
        <w:jc w:val="both"/>
        <w:rPr>
          <w:i/>
        </w:rPr>
      </w:pPr>
      <w:bookmarkStart w:id="7" w:name="_Ref193200363"/>
      <w:r w:rsidRPr="00B5184E">
        <w:rPr>
          <w:i/>
        </w:rPr>
        <w:t xml:space="preserve">Observation </w:t>
      </w:r>
      <w:r w:rsidRPr="00B5184E">
        <w:rPr>
          <w:b w:val="0"/>
          <w:i/>
        </w:rPr>
        <w:fldChar w:fldCharType="begin"/>
      </w:r>
      <w:r w:rsidRPr="00B5184E">
        <w:rPr>
          <w:i/>
        </w:rPr>
        <w:instrText xml:space="preserve"> SEQ Observation \* ARABIC </w:instrText>
      </w:r>
      <w:r w:rsidRPr="00B5184E">
        <w:rPr>
          <w:b w:val="0"/>
          <w:i/>
        </w:rPr>
        <w:fldChar w:fldCharType="separate"/>
      </w:r>
      <w:r w:rsidR="00AD5D8D">
        <w:rPr>
          <w:i/>
          <w:noProof/>
        </w:rPr>
        <w:t>2</w:t>
      </w:r>
      <w:r w:rsidRPr="00B5184E">
        <w:rPr>
          <w:b w:val="0"/>
          <w:i/>
        </w:rPr>
        <w:fldChar w:fldCharType="end"/>
      </w:r>
      <w:r w:rsidRPr="00B5184E">
        <w:rPr>
          <w:i/>
        </w:rPr>
        <w:t xml:space="preserve">: The FDD-FDD band combination </w:t>
      </w:r>
      <w:proofErr w:type="spellStart"/>
      <w:r w:rsidRPr="00B5184E">
        <w:rPr>
          <w:i/>
        </w:rPr>
        <w:t>CA_nA-nB</w:t>
      </w:r>
      <w:proofErr w:type="spellEnd"/>
      <w:r w:rsidRPr="00B5184E">
        <w:rPr>
          <w:i/>
        </w:rPr>
        <w:t xml:space="preserve"> without sufficient </w:t>
      </w:r>
      <w:r w:rsidR="00DD5965">
        <w:rPr>
          <w:i/>
        </w:rPr>
        <w:t xml:space="preserve">frequency </w:t>
      </w:r>
      <w:r w:rsidR="008877A0" w:rsidRPr="008877A0">
        <w:rPr>
          <w:i/>
        </w:rPr>
        <w:t xml:space="preserve">separation </w:t>
      </w:r>
      <w:r w:rsidRPr="00B5184E">
        <w:rPr>
          <w:i/>
        </w:rPr>
        <w:t xml:space="preserve">between band </w:t>
      </w:r>
      <w:proofErr w:type="spellStart"/>
      <w:r w:rsidRPr="00B5184E">
        <w:rPr>
          <w:i/>
        </w:rPr>
        <w:t>nA</w:t>
      </w:r>
      <w:proofErr w:type="spellEnd"/>
      <w:r w:rsidRPr="00B5184E">
        <w:rPr>
          <w:i/>
        </w:rPr>
        <w:t xml:space="preserve"> UL and band </w:t>
      </w:r>
      <w:proofErr w:type="spellStart"/>
      <w:r w:rsidRPr="00B5184E">
        <w:rPr>
          <w:i/>
        </w:rPr>
        <w:t>nB</w:t>
      </w:r>
      <w:proofErr w:type="spellEnd"/>
      <w:r w:rsidRPr="00B5184E">
        <w:rPr>
          <w:i/>
        </w:rPr>
        <w:t xml:space="preserve"> DL can hardly support simultaneous operation of (</w:t>
      </w:r>
      <w:proofErr w:type="spellStart"/>
      <w:r w:rsidRPr="00B5184E">
        <w:rPr>
          <w:i/>
        </w:rPr>
        <w:t>nA</w:t>
      </w:r>
      <w:proofErr w:type="spellEnd"/>
      <w:r w:rsidRPr="00B5184E">
        <w:rPr>
          <w:i/>
        </w:rPr>
        <w:t xml:space="preserve"> UL, </w:t>
      </w:r>
      <w:proofErr w:type="spellStart"/>
      <w:r w:rsidRPr="00B5184E">
        <w:rPr>
          <w:i/>
        </w:rPr>
        <w:t>nB</w:t>
      </w:r>
      <w:proofErr w:type="spellEnd"/>
      <w:r w:rsidRPr="00B5184E">
        <w:rPr>
          <w:i/>
        </w:rPr>
        <w:t xml:space="preserve"> DL).</w:t>
      </w:r>
      <w:bookmarkEnd w:id="7"/>
    </w:p>
    <w:p w14:paraId="0BA6E48F" w14:textId="174DDF00" w:rsidR="00B5184E" w:rsidRDefault="00F44E26" w:rsidP="00F44E26">
      <w:pPr>
        <w:pStyle w:val="ae"/>
        <w:jc w:val="both"/>
        <w:rPr>
          <w:rFonts w:ascii="宋体" w:eastAsia="宋体" w:hAnsi="宋体" w:cs="宋体"/>
          <w:b w:val="0"/>
          <w:lang w:eastAsia="zh-CN"/>
        </w:rPr>
      </w:pPr>
      <w:r w:rsidRPr="00CB328B">
        <w:rPr>
          <w:rFonts w:hint="eastAsia"/>
          <w:b w:val="0"/>
        </w:rPr>
        <w:t>F</w:t>
      </w:r>
      <w:r w:rsidRPr="00CB328B">
        <w:rPr>
          <w:b w:val="0"/>
        </w:rPr>
        <w:t xml:space="preserve">or FDD-SDL inter-band CA, </w:t>
      </w:r>
      <w:r w:rsidRPr="00F44E26">
        <w:rPr>
          <w:b w:val="0"/>
        </w:rPr>
        <w:t>it was concluded that simultaneous Rx-Tx is mandatory without signalling.</w:t>
      </w:r>
      <w:r>
        <w:rPr>
          <w:b w:val="0"/>
        </w:rPr>
        <w:t xml:space="preserve"> </w:t>
      </w:r>
      <w:r w:rsidR="00160F0A">
        <w:rPr>
          <w:b w:val="0"/>
        </w:rPr>
        <w:t xml:space="preserve">For Rel-19 </w:t>
      </w:r>
      <w:r w:rsidR="00CB56D1" w:rsidRPr="00CB56D1">
        <w:rPr>
          <w:b w:val="0"/>
        </w:rPr>
        <w:t>low band carrier aggregation via switching</w:t>
      </w:r>
      <w:r w:rsidR="008877A0">
        <w:rPr>
          <w:b w:val="0"/>
        </w:rPr>
        <w:t xml:space="preserve"> </w:t>
      </w:r>
      <w:r w:rsidR="008877A0" w:rsidRPr="005A75F4">
        <w:rPr>
          <w:b w:val="0"/>
        </w:rPr>
        <w:t>[</w:t>
      </w:r>
      <w:r w:rsidR="00291E2A">
        <w:rPr>
          <w:b w:val="0"/>
        </w:rPr>
        <w:t>7</w:t>
      </w:r>
      <w:r w:rsidR="008877A0" w:rsidRPr="005A75F4">
        <w:rPr>
          <w:b w:val="0"/>
        </w:rPr>
        <w:t>]</w:t>
      </w:r>
      <w:r w:rsidR="00C377FE">
        <w:rPr>
          <w:b w:val="0"/>
        </w:rPr>
        <w:t xml:space="preserve">, </w:t>
      </w:r>
      <w:r w:rsidR="008877A0">
        <w:rPr>
          <w:b w:val="0"/>
        </w:rPr>
        <w:t>there is no simultaneous Rx-Tx between FDD UL and SDL. F</w:t>
      </w:r>
      <w:r w:rsidR="00C377FE" w:rsidRPr="00C377FE">
        <w:rPr>
          <w:b w:val="0"/>
        </w:rPr>
        <w:t>rom the duplexer design perspective, the frequency separation between the bands does not pose a feasibility challenge in general</w:t>
      </w:r>
      <w:r w:rsidR="008877A0">
        <w:rPr>
          <w:b w:val="0"/>
        </w:rPr>
        <w:t xml:space="preserve">. </w:t>
      </w:r>
      <w:r w:rsidR="00E435C6">
        <w:rPr>
          <w:b w:val="0"/>
        </w:rPr>
        <w:t>Thing</w:t>
      </w:r>
      <w:r>
        <w:rPr>
          <w:b w:val="0"/>
        </w:rPr>
        <w:t>s</w:t>
      </w:r>
      <w:r w:rsidR="00E435C6">
        <w:rPr>
          <w:b w:val="0"/>
        </w:rPr>
        <w:t xml:space="preserve"> are quite similar to that for FDD-FDD without sufficient isolation between </w:t>
      </w:r>
      <w:proofErr w:type="spellStart"/>
      <w:r w:rsidR="00E435C6">
        <w:rPr>
          <w:b w:val="0"/>
        </w:rPr>
        <w:t>nA</w:t>
      </w:r>
      <w:proofErr w:type="spellEnd"/>
      <w:r w:rsidR="00E435C6">
        <w:rPr>
          <w:b w:val="0"/>
        </w:rPr>
        <w:t xml:space="preserve"> UL and </w:t>
      </w:r>
      <w:proofErr w:type="spellStart"/>
      <w:r w:rsidR="00E435C6">
        <w:rPr>
          <w:b w:val="0"/>
        </w:rPr>
        <w:t>nB</w:t>
      </w:r>
      <w:proofErr w:type="spellEnd"/>
      <w:r w:rsidR="00E435C6">
        <w:rPr>
          <w:b w:val="0"/>
        </w:rPr>
        <w:t xml:space="preserve"> DL in CA_n12-n29</w:t>
      </w:r>
      <w:r w:rsidR="008877A0">
        <w:rPr>
          <w:b w:val="0"/>
        </w:rPr>
        <w:t>.</w:t>
      </w:r>
    </w:p>
    <w:p w14:paraId="5BB37F2A" w14:textId="0C361B9C" w:rsidR="008877A0" w:rsidRDefault="008877A0" w:rsidP="008877A0">
      <w:pPr>
        <w:pStyle w:val="ae"/>
        <w:rPr>
          <w:i/>
        </w:rPr>
      </w:pPr>
      <w:bookmarkStart w:id="8" w:name="_Ref193200369"/>
      <w:bookmarkStart w:id="9" w:name="_Ref206167626"/>
      <w:r w:rsidRPr="008877A0">
        <w:rPr>
          <w:i/>
        </w:rPr>
        <w:t xml:space="preserve">Observation </w:t>
      </w:r>
      <w:r w:rsidRPr="008877A0">
        <w:rPr>
          <w:i/>
        </w:rPr>
        <w:fldChar w:fldCharType="begin"/>
      </w:r>
      <w:r w:rsidRPr="008877A0">
        <w:rPr>
          <w:i/>
        </w:rPr>
        <w:instrText xml:space="preserve"> SEQ Observation \* ARABIC </w:instrText>
      </w:r>
      <w:r w:rsidRPr="008877A0">
        <w:rPr>
          <w:i/>
        </w:rPr>
        <w:fldChar w:fldCharType="separate"/>
      </w:r>
      <w:r w:rsidR="00AD5D8D">
        <w:rPr>
          <w:i/>
          <w:noProof/>
        </w:rPr>
        <w:t>3</w:t>
      </w:r>
      <w:r w:rsidRPr="008877A0">
        <w:rPr>
          <w:i/>
        </w:rPr>
        <w:fldChar w:fldCharType="end"/>
      </w:r>
      <w:r w:rsidRPr="008877A0">
        <w:rPr>
          <w:i/>
        </w:rPr>
        <w:t xml:space="preserve">: </w:t>
      </w:r>
      <w:r>
        <w:rPr>
          <w:i/>
        </w:rPr>
        <w:t xml:space="preserve">FDD-SDL </w:t>
      </w:r>
      <w:r w:rsidRPr="008877A0">
        <w:rPr>
          <w:i/>
        </w:rPr>
        <w:t>band combination in Rel-19 low band carrier aggregation via switching</w:t>
      </w:r>
      <w:r>
        <w:rPr>
          <w:i/>
        </w:rPr>
        <w:t xml:space="preserve"> without sufficient frequency separation results in duplexer design difficulty, and makes it hard to implement simultaneous Rx-Tx for FDD UL and SDL.</w:t>
      </w:r>
      <w:bookmarkEnd w:id="8"/>
      <w:bookmarkEnd w:id="9"/>
      <w:r w:rsidR="00291E2A">
        <w:rPr>
          <w:i/>
        </w:rPr>
        <w:t xml:space="preserve"> </w:t>
      </w:r>
    </w:p>
    <w:p w14:paraId="425DBD1B" w14:textId="396B4808" w:rsidR="008877A0" w:rsidRDefault="003A4393" w:rsidP="008877A0">
      <w:r>
        <w:rPr>
          <w:rFonts w:hint="eastAsia"/>
        </w:rPr>
        <w:t>I</w:t>
      </w:r>
      <w:r>
        <w:t xml:space="preserve">n </w:t>
      </w:r>
      <w:r w:rsidRPr="005A75F4">
        <w:t>[</w:t>
      </w:r>
      <w:r w:rsidR="00291E2A">
        <w:t>6</w:t>
      </w:r>
      <w:r w:rsidRPr="005A75F4">
        <w:t>]</w:t>
      </w:r>
      <w:r>
        <w:t>, CA_n28-n67 was also proposed for CA via switching</w:t>
      </w:r>
      <w:r w:rsidR="0063032D">
        <w:t xml:space="preserve">, n67 </w:t>
      </w:r>
      <w:r w:rsidR="0063032D">
        <w:rPr>
          <w:rFonts w:hint="eastAsia"/>
        </w:rPr>
        <w:t>DL</w:t>
      </w:r>
      <w:r w:rsidR="0063032D">
        <w:t xml:space="preserve"> (738-758MHz) overlaps with n28 UL (703-748MHz).</w:t>
      </w:r>
      <w:r w:rsidR="006669AD">
        <w:t xml:space="preserve"> The reason for non-simultaneous Rx-Tx is same as that for CA_n5-n8 (n5DL, n8UL).</w:t>
      </w:r>
    </w:p>
    <w:bookmarkEnd w:id="2"/>
    <w:p w14:paraId="38406C3F" w14:textId="75490DB6"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14:paraId="1A857BF0" w14:textId="7A0AD906" w:rsidR="00671A68" w:rsidRDefault="00814EDE" w:rsidP="00671A68">
      <w:pPr>
        <w:rPr>
          <w:b/>
          <w:i/>
          <w:lang w:val="en-US"/>
        </w:rPr>
      </w:pPr>
      <w:r w:rsidRPr="00086BFD">
        <w:t xml:space="preserve">In this contribution we </w:t>
      </w:r>
      <w:r w:rsidR="005A75F4">
        <w:t>further</w:t>
      </w:r>
      <w:r w:rsidR="006D6ADC">
        <w:t xml:space="preserve"> the rules for simultaneous</w:t>
      </w:r>
      <w:r w:rsidR="008D1E5F">
        <w:t xml:space="preserve"> </w:t>
      </w:r>
      <w:proofErr w:type="spellStart"/>
      <w:r w:rsidR="006D6ADC">
        <w:t>RxTx</w:t>
      </w:r>
      <w:proofErr w:type="spellEnd"/>
      <w:r w:rsidR="006D6ADC">
        <w:t xml:space="preserve"> for FR1</w:t>
      </w:r>
      <w:r w:rsidR="00A72EC6" w:rsidRPr="00086BFD">
        <w:t xml:space="preserve">, according to the analysis, we have the following </w:t>
      </w:r>
      <w:r w:rsidR="000145A0">
        <w:t xml:space="preserve">observations and </w:t>
      </w:r>
      <w:r w:rsidR="00A72EC6" w:rsidRPr="00086BFD">
        <w:t>proposal</w:t>
      </w:r>
      <w:r w:rsidR="00A72EC6">
        <w:rPr>
          <w:rFonts w:hint="eastAsia"/>
        </w:rPr>
        <w:t>s</w:t>
      </w:r>
      <w:r w:rsidRPr="00086BFD">
        <w:t>:</w:t>
      </w:r>
      <w:r w:rsidR="00671A68" w:rsidRPr="00671A68">
        <w:rPr>
          <w:rFonts w:hint="eastAsia"/>
          <w:b/>
          <w:i/>
          <w:lang w:val="en-US"/>
        </w:rPr>
        <w:t xml:space="preserve"> </w:t>
      </w:r>
    </w:p>
    <w:p w14:paraId="0D34AC2D" w14:textId="12CDD97C" w:rsidR="00291E2A" w:rsidRPr="00291E2A" w:rsidRDefault="00291E2A" w:rsidP="00671A68">
      <w:pPr>
        <w:rPr>
          <w:b/>
          <w:i/>
          <w:lang w:val="en-US"/>
        </w:rPr>
      </w:pPr>
      <w:r w:rsidRPr="00291E2A">
        <w:rPr>
          <w:b/>
          <w:i/>
          <w:lang w:val="en-US"/>
        </w:rPr>
        <w:fldChar w:fldCharType="begin"/>
      </w:r>
      <w:r w:rsidRPr="00291E2A">
        <w:rPr>
          <w:b/>
          <w:i/>
          <w:lang w:val="en-US"/>
        </w:rPr>
        <w:instrText xml:space="preserve"> </w:instrText>
      </w:r>
      <w:r w:rsidRPr="00291E2A">
        <w:rPr>
          <w:rFonts w:hint="eastAsia"/>
          <w:b/>
          <w:i/>
          <w:lang w:val="en-US"/>
        </w:rPr>
        <w:instrText>REF _Ref206167569 \h</w:instrText>
      </w:r>
      <w:r w:rsidRPr="00291E2A">
        <w:rPr>
          <w:b/>
          <w:i/>
          <w:lang w:val="en-US"/>
        </w:rPr>
        <w:instrText xml:space="preserve"> </w:instrText>
      </w:r>
      <w:r w:rsidRPr="00291E2A">
        <w:rPr>
          <w:b/>
          <w:i/>
          <w:lang w:val="en-US"/>
        </w:rPr>
      </w:r>
      <w:r w:rsidRPr="00291E2A">
        <w:rPr>
          <w:b/>
          <w:i/>
          <w:lang w:val="en-US"/>
        </w:rPr>
        <w:instrText xml:space="preserve"> \* MERGEFORMAT </w:instrText>
      </w:r>
      <w:r w:rsidRPr="00291E2A">
        <w:rPr>
          <w:b/>
          <w:i/>
          <w:lang w:val="en-US"/>
        </w:rPr>
        <w:fldChar w:fldCharType="separate"/>
      </w:r>
      <w:r w:rsidRPr="00291E2A">
        <w:rPr>
          <w:b/>
          <w:i/>
        </w:rPr>
        <w:t xml:space="preserve">Observation </w:t>
      </w:r>
      <w:r w:rsidRPr="00291E2A">
        <w:rPr>
          <w:b/>
          <w:i/>
          <w:noProof/>
        </w:rPr>
        <w:t>1</w:t>
      </w:r>
      <w:r w:rsidRPr="00291E2A">
        <w:rPr>
          <w:b/>
          <w:i/>
        </w:rPr>
        <w:t xml:space="preserve">: The implementation of Single-DCI feature enables the </w:t>
      </w:r>
      <w:proofErr w:type="gramStart"/>
      <w:r w:rsidRPr="00291E2A">
        <w:rPr>
          <w:b/>
          <w:i/>
        </w:rPr>
        <w:t>cross carrier</w:t>
      </w:r>
      <w:proofErr w:type="gramEnd"/>
      <w:r w:rsidRPr="00291E2A">
        <w:rPr>
          <w:b/>
          <w:i/>
        </w:rPr>
        <w:t xml:space="preserve"> scheduling to support case 1 in the scheme of WF in the last meeting.</w:t>
      </w:r>
      <w:r w:rsidRPr="00291E2A">
        <w:rPr>
          <w:b/>
          <w:i/>
          <w:lang w:val="en-US"/>
        </w:rPr>
        <w:fldChar w:fldCharType="end"/>
      </w:r>
    </w:p>
    <w:p w14:paraId="442A41E3" w14:textId="7E1D2B28" w:rsidR="00291E2A" w:rsidRPr="00291E2A" w:rsidRDefault="00291E2A" w:rsidP="00671A68">
      <w:pPr>
        <w:rPr>
          <w:b/>
          <w:i/>
          <w:lang w:val="en-US"/>
        </w:rPr>
      </w:pPr>
      <w:r w:rsidRPr="00291E2A">
        <w:rPr>
          <w:b/>
          <w:i/>
          <w:lang w:val="en-US"/>
        </w:rPr>
        <w:fldChar w:fldCharType="begin"/>
      </w:r>
      <w:r w:rsidRPr="00291E2A">
        <w:rPr>
          <w:b/>
          <w:i/>
          <w:lang w:val="en-US"/>
        </w:rPr>
        <w:instrText xml:space="preserve"> </w:instrText>
      </w:r>
      <w:r w:rsidRPr="00291E2A">
        <w:rPr>
          <w:rFonts w:hint="eastAsia"/>
          <w:b/>
          <w:i/>
          <w:lang w:val="en-US"/>
        </w:rPr>
        <w:instrText>REF _Ref193200363 \h</w:instrText>
      </w:r>
      <w:r w:rsidRPr="00291E2A">
        <w:rPr>
          <w:b/>
          <w:i/>
          <w:lang w:val="en-US"/>
        </w:rPr>
        <w:instrText xml:space="preserve"> </w:instrText>
      </w:r>
      <w:r w:rsidRPr="00291E2A">
        <w:rPr>
          <w:b/>
          <w:i/>
          <w:lang w:val="en-US"/>
        </w:rPr>
      </w:r>
      <w:r w:rsidRPr="00291E2A">
        <w:rPr>
          <w:b/>
          <w:i/>
          <w:lang w:val="en-US"/>
        </w:rPr>
        <w:instrText xml:space="preserve"> \* MERGEFORMAT </w:instrText>
      </w:r>
      <w:r w:rsidRPr="00291E2A">
        <w:rPr>
          <w:b/>
          <w:i/>
          <w:lang w:val="en-US"/>
        </w:rPr>
        <w:fldChar w:fldCharType="separate"/>
      </w:r>
      <w:r w:rsidRPr="00291E2A">
        <w:rPr>
          <w:b/>
          <w:i/>
        </w:rPr>
        <w:t xml:space="preserve">Observation </w:t>
      </w:r>
      <w:r w:rsidRPr="00291E2A">
        <w:rPr>
          <w:b/>
          <w:i/>
          <w:noProof/>
        </w:rPr>
        <w:t>2</w:t>
      </w:r>
      <w:r w:rsidRPr="00291E2A">
        <w:rPr>
          <w:b/>
          <w:i/>
        </w:rPr>
        <w:t xml:space="preserve">: The FDD-FDD band combination </w:t>
      </w:r>
      <w:proofErr w:type="spellStart"/>
      <w:r w:rsidRPr="00291E2A">
        <w:rPr>
          <w:b/>
          <w:i/>
        </w:rPr>
        <w:t>CA_nA-nB</w:t>
      </w:r>
      <w:proofErr w:type="spellEnd"/>
      <w:r w:rsidRPr="00291E2A">
        <w:rPr>
          <w:b/>
          <w:i/>
        </w:rPr>
        <w:t xml:space="preserve"> without sufficient frequency separation between band </w:t>
      </w:r>
      <w:proofErr w:type="spellStart"/>
      <w:r w:rsidRPr="00291E2A">
        <w:rPr>
          <w:b/>
          <w:i/>
        </w:rPr>
        <w:t>nA</w:t>
      </w:r>
      <w:proofErr w:type="spellEnd"/>
      <w:r w:rsidRPr="00291E2A">
        <w:rPr>
          <w:b/>
          <w:i/>
        </w:rPr>
        <w:t xml:space="preserve"> UL and band </w:t>
      </w:r>
      <w:proofErr w:type="spellStart"/>
      <w:r w:rsidRPr="00291E2A">
        <w:rPr>
          <w:b/>
          <w:i/>
        </w:rPr>
        <w:t>nB</w:t>
      </w:r>
      <w:proofErr w:type="spellEnd"/>
      <w:r w:rsidRPr="00291E2A">
        <w:rPr>
          <w:b/>
          <w:i/>
        </w:rPr>
        <w:t xml:space="preserve"> DL can hardly support simultaneous operation of (</w:t>
      </w:r>
      <w:proofErr w:type="spellStart"/>
      <w:r w:rsidRPr="00291E2A">
        <w:rPr>
          <w:b/>
          <w:i/>
        </w:rPr>
        <w:t>nA</w:t>
      </w:r>
      <w:proofErr w:type="spellEnd"/>
      <w:r w:rsidRPr="00291E2A">
        <w:rPr>
          <w:b/>
          <w:i/>
        </w:rPr>
        <w:t xml:space="preserve"> UL, </w:t>
      </w:r>
      <w:proofErr w:type="spellStart"/>
      <w:r w:rsidRPr="00291E2A">
        <w:rPr>
          <w:b/>
          <w:i/>
        </w:rPr>
        <w:t>nB</w:t>
      </w:r>
      <w:proofErr w:type="spellEnd"/>
      <w:r w:rsidRPr="00291E2A">
        <w:rPr>
          <w:b/>
          <w:i/>
        </w:rPr>
        <w:t xml:space="preserve"> DL).</w:t>
      </w:r>
      <w:r w:rsidRPr="00291E2A">
        <w:rPr>
          <w:b/>
          <w:i/>
          <w:lang w:val="en-US"/>
        </w:rPr>
        <w:fldChar w:fldCharType="end"/>
      </w:r>
    </w:p>
    <w:p w14:paraId="12CCBEEF" w14:textId="400D97D1" w:rsidR="00291E2A" w:rsidRPr="00291E2A" w:rsidRDefault="00291E2A" w:rsidP="00671A68">
      <w:pPr>
        <w:rPr>
          <w:rFonts w:hint="eastAsia"/>
          <w:b/>
          <w:i/>
          <w:lang w:val="en-US"/>
        </w:rPr>
      </w:pPr>
      <w:r w:rsidRPr="00291E2A">
        <w:rPr>
          <w:b/>
          <w:i/>
          <w:lang w:val="en-US"/>
        </w:rPr>
        <w:fldChar w:fldCharType="begin"/>
      </w:r>
      <w:r w:rsidRPr="00291E2A">
        <w:rPr>
          <w:b/>
          <w:i/>
          <w:lang w:val="en-US"/>
        </w:rPr>
        <w:instrText xml:space="preserve"> </w:instrText>
      </w:r>
      <w:r w:rsidRPr="00291E2A">
        <w:rPr>
          <w:rFonts w:hint="eastAsia"/>
          <w:b/>
          <w:i/>
          <w:lang w:val="en-US"/>
        </w:rPr>
        <w:instrText>REF _Ref206167626 \h</w:instrText>
      </w:r>
      <w:r w:rsidRPr="00291E2A">
        <w:rPr>
          <w:b/>
          <w:i/>
          <w:lang w:val="en-US"/>
        </w:rPr>
        <w:instrText xml:space="preserve"> </w:instrText>
      </w:r>
      <w:r w:rsidRPr="00291E2A">
        <w:rPr>
          <w:b/>
          <w:i/>
          <w:lang w:val="en-US"/>
        </w:rPr>
      </w:r>
      <w:r w:rsidRPr="00291E2A">
        <w:rPr>
          <w:b/>
          <w:i/>
          <w:lang w:val="en-US"/>
        </w:rPr>
        <w:instrText xml:space="preserve"> \* MERGEFORMAT </w:instrText>
      </w:r>
      <w:r w:rsidRPr="00291E2A">
        <w:rPr>
          <w:b/>
          <w:i/>
          <w:lang w:val="en-US"/>
        </w:rPr>
        <w:fldChar w:fldCharType="separate"/>
      </w:r>
      <w:r w:rsidRPr="00291E2A">
        <w:rPr>
          <w:b/>
          <w:i/>
        </w:rPr>
        <w:t xml:space="preserve">Observation </w:t>
      </w:r>
      <w:r w:rsidRPr="00291E2A">
        <w:rPr>
          <w:b/>
          <w:i/>
          <w:noProof/>
        </w:rPr>
        <w:t>3</w:t>
      </w:r>
      <w:r w:rsidRPr="00291E2A">
        <w:rPr>
          <w:b/>
          <w:i/>
        </w:rPr>
        <w:t>: FDD-SDL band combination in Rel-19 low band carrier aggregation via switching without sufficient frequency separation results in duplexer design difficulty, and makes it hard to implement simultaneous Rx-Tx for FDD UL and SDL.</w:t>
      </w:r>
      <w:r w:rsidRPr="00291E2A">
        <w:rPr>
          <w:b/>
          <w:i/>
          <w:lang w:val="en-US"/>
        </w:rPr>
        <w:fldChar w:fldCharType="end"/>
      </w:r>
      <w:r w:rsidRPr="00291E2A">
        <w:rPr>
          <w:rFonts w:hint="eastAsia"/>
          <w:b/>
          <w:i/>
          <w:lang w:val="en-US"/>
        </w:rPr>
        <w:t xml:space="preserve"> </w:t>
      </w:r>
    </w:p>
    <w:p w14:paraId="69A39704" w14:textId="6485F12F" w:rsidR="00291E2A" w:rsidRPr="00291E2A" w:rsidRDefault="00291E2A" w:rsidP="00671A68">
      <w:pPr>
        <w:rPr>
          <w:b/>
          <w:i/>
          <w:lang w:val="en-US"/>
        </w:rPr>
      </w:pPr>
      <w:r w:rsidRPr="00291E2A">
        <w:rPr>
          <w:b/>
          <w:i/>
          <w:lang w:val="en-US"/>
        </w:rPr>
        <w:fldChar w:fldCharType="begin"/>
      </w:r>
      <w:r w:rsidRPr="00291E2A">
        <w:rPr>
          <w:b/>
          <w:i/>
          <w:lang w:val="en-US"/>
        </w:rPr>
        <w:instrText xml:space="preserve"> </w:instrText>
      </w:r>
      <w:r w:rsidRPr="00291E2A">
        <w:rPr>
          <w:rFonts w:hint="eastAsia"/>
          <w:b/>
          <w:i/>
          <w:lang w:val="en-US"/>
        </w:rPr>
        <w:instrText>REF _Ref197700715 \h</w:instrText>
      </w:r>
      <w:r w:rsidRPr="00291E2A">
        <w:rPr>
          <w:b/>
          <w:i/>
          <w:lang w:val="en-US"/>
        </w:rPr>
        <w:instrText xml:space="preserve"> </w:instrText>
      </w:r>
      <w:r w:rsidRPr="00291E2A">
        <w:rPr>
          <w:b/>
          <w:i/>
          <w:lang w:val="en-US"/>
        </w:rPr>
      </w:r>
      <w:r w:rsidRPr="00291E2A">
        <w:rPr>
          <w:b/>
          <w:i/>
          <w:lang w:val="en-US"/>
        </w:rPr>
        <w:instrText xml:space="preserve"> \* MERGEFORMAT </w:instrText>
      </w:r>
      <w:r w:rsidRPr="00291E2A">
        <w:rPr>
          <w:b/>
          <w:i/>
          <w:lang w:val="en-US"/>
        </w:rPr>
        <w:fldChar w:fldCharType="separate"/>
      </w:r>
      <w:r w:rsidRPr="00291E2A">
        <w:rPr>
          <w:b/>
          <w:i/>
        </w:rPr>
        <w:t xml:space="preserve">Proposal </w:t>
      </w:r>
      <w:r w:rsidRPr="00291E2A">
        <w:rPr>
          <w:b/>
          <w:i/>
          <w:noProof/>
        </w:rPr>
        <w:t>1</w:t>
      </w:r>
      <w:r w:rsidRPr="00291E2A">
        <w:rPr>
          <w:b/>
          <w:i/>
        </w:rPr>
        <w:t xml:space="preserve">: To support UL CA for CA_n5-n8 in Rel-19, a future proof capability </w:t>
      </w:r>
      <w:r w:rsidRPr="00291E2A">
        <w:rPr>
          <w:b/>
          <w:i/>
          <w:color w:val="000000"/>
        </w:rPr>
        <w:t>differentiating simultaneous Rx-Tx capability for (</w:t>
      </w:r>
      <w:proofErr w:type="spellStart"/>
      <w:r w:rsidRPr="00291E2A">
        <w:rPr>
          <w:b/>
          <w:i/>
          <w:color w:val="000000"/>
        </w:rPr>
        <w:t>nA</w:t>
      </w:r>
      <w:proofErr w:type="spellEnd"/>
      <w:r w:rsidRPr="00291E2A">
        <w:rPr>
          <w:b/>
          <w:i/>
          <w:color w:val="000000"/>
        </w:rPr>
        <w:t xml:space="preserve"> UL, </w:t>
      </w:r>
      <w:proofErr w:type="spellStart"/>
      <w:r w:rsidRPr="00291E2A">
        <w:rPr>
          <w:b/>
          <w:i/>
          <w:color w:val="000000"/>
        </w:rPr>
        <w:t>nB</w:t>
      </w:r>
      <w:proofErr w:type="spellEnd"/>
      <w:r w:rsidRPr="00291E2A">
        <w:rPr>
          <w:b/>
          <w:i/>
          <w:color w:val="000000"/>
        </w:rPr>
        <w:t xml:space="preserve"> DL) and (</w:t>
      </w:r>
      <w:proofErr w:type="spellStart"/>
      <w:r w:rsidRPr="00291E2A">
        <w:rPr>
          <w:b/>
          <w:i/>
          <w:color w:val="000000"/>
        </w:rPr>
        <w:t>nA</w:t>
      </w:r>
      <w:proofErr w:type="spellEnd"/>
      <w:r w:rsidRPr="00291E2A">
        <w:rPr>
          <w:b/>
          <w:i/>
          <w:color w:val="000000"/>
        </w:rPr>
        <w:t xml:space="preserve"> DL, </w:t>
      </w:r>
      <w:proofErr w:type="spellStart"/>
      <w:r w:rsidRPr="00291E2A">
        <w:rPr>
          <w:b/>
          <w:i/>
          <w:color w:val="000000"/>
        </w:rPr>
        <w:t>nB</w:t>
      </w:r>
      <w:proofErr w:type="spellEnd"/>
      <w:r w:rsidRPr="00291E2A">
        <w:rPr>
          <w:b/>
          <w:i/>
          <w:color w:val="000000"/>
        </w:rPr>
        <w:t xml:space="preserve"> UL), is required.</w:t>
      </w:r>
      <w:r w:rsidRPr="00291E2A">
        <w:rPr>
          <w:b/>
          <w:i/>
          <w:lang w:val="en-US"/>
        </w:rPr>
        <w:fldChar w:fldCharType="end"/>
      </w:r>
    </w:p>
    <w:p w14:paraId="3645C1CB" w14:textId="01828420" w:rsidR="00291E2A" w:rsidRPr="00291E2A" w:rsidRDefault="00291E2A" w:rsidP="00671A68">
      <w:pPr>
        <w:rPr>
          <w:rFonts w:hint="eastAsia"/>
          <w:b/>
          <w:i/>
          <w:lang w:val="en-US"/>
        </w:rPr>
      </w:pPr>
      <w:r w:rsidRPr="00291E2A">
        <w:rPr>
          <w:b/>
          <w:i/>
          <w:lang w:val="en-US"/>
        </w:rPr>
        <w:fldChar w:fldCharType="begin"/>
      </w:r>
      <w:r w:rsidRPr="00291E2A">
        <w:rPr>
          <w:b/>
          <w:i/>
          <w:lang w:val="en-US"/>
        </w:rPr>
        <w:instrText xml:space="preserve"> </w:instrText>
      </w:r>
      <w:r w:rsidRPr="00291E2A">
        <w:rPr>
          <w:rFonts w:hint="eastAsia"/>
          <w:b/>
          <w:i/>
          <w:lang w:val="en-US"/>
        </w:rPr>
        <w:instrText>REF _Ref206167587 \h</w:instrText>
      </w:r>
      <w:r w:rsidRPr="00291E2A">
        <w:rPr>
          <w:b/>
          <w:i/>
          <w:lang w:val="en-US"/>
        </w:rPr>
        <w:instrText xml:space="preserve"> </w:instrText>
      </w:r>
      <w:r w:rsidRPr="00291E2A">
        <w:rPr>
          <w:b/>
          <w:i/>
          <w:lang w:val="en-US"/>
        </w:rPr>
      </w:r>
      <w:r w:rsidRPr="00291E2A">
        <w:rPr>
          <w:b/>
          <w:i/>
          <w:lang w:val="en-US"/>
        </w:rPr>
        <w:instrText xml:space="preserve"> \* MERGEFORMAT </w:instrText>
      </w:r>
      <w:r w:rsidRPr="00291E2A">
        <w:rPr>
          <w:b/>
          <w:i/>
          <w:lang w:val="en-US"/>
        </w:rPr>
        <w:fldChar w:fldCharType="separate"/>
      </w:r>
      <w:r w:rsidRPr="00291E2A">
        <w:rPr>
          <w:b/>
          <w:i/>
        </w:rPr>
        <w:t xml:space="preserve">Proposal </w:t>
      </w:r>
      <w:r w:rsidRPr="00291E2A">
        <w:rPr>
          <w:b/>
          <w:i/>
          <w:noProof/>
        </w:rPr>
        <w:t>2</w:t>
      </w:r>
      <w:r w:rsidRPr="00291E2A">
        <w:rPr>
          <w:b/>
          <w:i/>
        </w:rPr>
        <w:t>: Scheduling availability in RRM spec TS 38.133 can be updated according to the new capability for simultaneous Rx-Tx to differentiate (</w:t>
      </w:r>
      <w:proofErr w:type="spellStart"/>
      <w:r w:rsidRPr="00291E2A">
        <w:rPr>
          <w:b/>
          <w:i/>
        </w:rPr>
        <w:t>nA</w:t>
      </w:r>
      <w:proofErr w:type="spellEnd"/>
      <w:r w:rsidRPr="00291E2A">
        <w:rPr>
          <w:b/>
          <w:i/>
        </w:rPr>
        <w:t xml:space="preserve"> UL, </w:t>
      </w:r>
      <w:proofErr w:type="spellStart"/>
      <w:r w:rsidRPr="00291E2A">
        <w:rPr>
          <w:b/>
          <w:i/>
        </w:rPr>
        <w:t>nB</w:t>
      </w:r>
      <w:proofErr w:type="spellEnd"/>
      <w:r w:rsidRPr="00291E2A">
        <w:rPr>
          <w:b/>
          <w:i/>
        </w:rPr>
        <w:t xml:space="preserve"> DL) and (</w:t>
      </w:r>
      <w:proofErr w:type="spellStart"/>
      <w:r w:rsidRPr="00291E2A">
        <w:rPr>
          <w:b/>
          <w:i/>
        </w:rPr>
        <w:t>nA</w:t>
      </w:r>
      <w:proofErr w:type="spellEnd"/>
      <w:r w:rsidRPr="00291E2A">
        <w:rPr>
          <w:b/>
          <w:i/>
        </w:rPr>
        <w:t xml:space="preserve"> DL, </w:t>
      </w:r>
      <w:proofErr w:type="spellStart"/>
      <w:r w:rsidRPr="00291E2A">
        <w:rPr>
          <w:b/>
          <w:i/>
        </w:rPr>
        <w:t>nB</w:t>
      </w:r>
      <w:proofErr w:type="spellEnd"/>
      <w:r w:rsidRPr="00291E2A">
        <w:rPr>
          <w:b/>
          <w:i/>
        </w:rPr>
        <w:t xml:space="preserve"> UL). No other RRM spec impact is observed.</w:t>
      </w:r>
      <w:r w:rsidRPr="00291E2A">
        <w:rPr>
          <w:b/>
          <w:i/>
          <w:lang w:val="en-US"/>
        </w:rPr>
        <w:fldChar w:fldCharType="end"/>
      </w:r>
    </w:p>
    <w:p w14:paraId="091F7D44" w14:textId="39E0D6C5" w:rsidR="0088745F" w:rsidRDefault="0088745F">
      <w:pPr>
        <w:overflowPunct/>
        <w:autoSpaceDE/>
        <w:autoSpaceDN/>
        <w:adjustRightInd/>
        <w:spacing w:after="0"/>
        <w:textAlignment w:val="auto"/>
        <w:rPr>
          <w:b/>
        </w:rPr>
      </w:pPr>
      <w:r>
        <w:rPr>
          <w:b/>
        </w:rPr>
        <w:br w:type="page"/>
      </w:r>
    </w:p>
    <w:p w14:paraId="29A65BBD" w14:textId="5B21DF7C" w:rsidR="00B22DA6" w:rsidRPr="00635D5B" w:rsidRDefault="00B22DA6" w:rsidP="00B22DA6">
      <w:pPr>
        <w:pStyle w:val="1"/>
        <w:numPr>
          <w:ilvl w:val="0"/>
          <w:numId w:val="0"/>
        </w:numPr>
        <w:rPr>
          <w:rFonts w:eastAsia="宋体" w:cs="Arial"/>
          <w:lang w:eastAsia="zh-CN"/>
        </w:rPr>
      </w:pPr>
      <w:r w:rsidRPr="00635D5B">
        <w:rPr>
          <w:rFonts w:cs="Arial"/>
        </w:rPr>
        <w:lastRenderedPageBreak/>
        <w:t>References</w:t>
      </w:r>
    </w:p>
    <w:p w14:paraId="0EC9C8DF" w14:textId="7EAACFE4" w:rsidR="000701AA" w:rsidRDefault="005A75F4" w:rsidP="005A75F4">
      <w:pPr>
        <w:snapToGrid w:val="0"/>
        <w:spacing w:after="60"/>
        <w:rPr>
          <w:rFonts w:eastAsiaTheme="minorEastAsia"/>
        </w:rPr>
      </w:pPr>
      <w:r w:rsidRPr="005A75F4">
        <w:rPr>
          <w:rFonts w:eastAsiaTheme="minorEastAsia"/>
        </w:rPr>
        <w:t>[1]</w:t>
      </w:r>
      <w:r>
        <w:rPr>
          <w:rFonts w:eastAsiaTheme="minorEastAsia"/>
        </w:rPr>
        <w:t xml:space="preserve"> </w:t>
      </w:r>
      <w:r w:rsidR="00914B0A" w:rsidRPr="00914B0A">
        <w:rPr>
          <w:rFonts w:eastAsiaTheme="minorEastAsia"/>
        </w:rPr>
        <w:t>RP-251536</w:t>
      </w:r>
      <w:r w:rsidR="000701AA">
        <w:rPr>
          <w:rFonts w:eastAsiaTheme="minorEastAsia"/>
        </w:rPr>
        <w:t xml:space="preserve">, </w:t>
      </w:r>
      <w:r w:rsidR="000701AA" w:rsidRPr="000701AA">
        <w:rPr>
          <w:rFonts w:eastAsiaTheme="minorEastAsia"/>
        </w:rPr>
        <w:t xml:space="preserve">Revised WID Simultaneous </w:t>
      </w:r>
      <w:proofErr w:type="spellStart"/>
      <w:r w:rsidR="000701AA" w:rsidRPr="000701AA">
        <w:rPr>
          <w:rFonts w:eastAsiaTheme="minorEastAsia"/>
        </w:rPr>
        <w:t>RxTx</w:t>
      </w:r>
      <w:proofErr w:type="spellEnd"/>
      <w:r w:rsidR="000701AA" w:rsidRPr="000701AA">
        <w:rPr>
          <w:rFonts w:eastAsiaTheme="minorEastAsia"/>
        </w:rPr>
        <w:t xml:space="preserve"> band combinations for NR CA/DC, NR SUL and LTE/NR DC in Rel-19</w:t>
      </w:r>
      <w:r w:rsidR="000701AA">
        <w:rPr>
          <w:rFonts w:eastAsiaTheme="minorEastAsia"/>
        </w:rPr>
        <w:t>, RAN#</w:t>
      </w:r>
      <w:r w:rsidR="00914B0A">
        <w:rPr>
          <w:rFonts w:eastAsiaTheme="minorEastAsia"/>
        </w:rPr>
        <w:t>108</w:t>
      </w:r>
      <w:r w:rsidR="000701AA">
        <w:rPr>
          <w:rFonts w:eastAsiaTheme="minorEastAsia"/>
        </w:rPr>
        <w:t xml:space="preserve">, </w:t>
      </w:r>
      <w:r w:rsidR="00914B0A">
        <w:rPr>
          <w:rFonts w:eastAsiaTheme="minorEastAsia"/>
        </w:rPr>
        <w:t>June</w:t>
      </w:r>
      <w:r w:rsidR="000701AA">
        <w:rPr>
          <w:rFonts w:eastAsiaTheme="minorEastAsia"/>
        </w:rPr>
        <w:t>, 202</w:t>
      </w:r>
      <w:r w:rsidR="00914B0A">
        <w:rPr>
          <w:rFonts w:eastAsiaTheme="minorEastAsia"/>
        </w:rPr>
        <w:t>5</w:t>
      </w:r>
      <w:r w:rsidR="000701AA">
        <w:rPr>
          <w:rFonts w:eastAsiaTheme="minorEastAsia"/>
        </w:rPr>
        <w:t>.</w:t>
      </w:r>
    </w:p>
    <w:p w14:paraId="79F66765" w14:textId="62D9EBEE" w:rsidR="004A29AC" w:rsidRDefault="004A29AC" w:rsidP="005A75F4">
      <w:pPr>
        <w:snapToGrid w:val="0"/>
        <w:spacing w:after="60"/>
        <w:rPr>
          <w:rFonts w:eastAsiaTheme="minorEastAsia"/>
        </w:rPr>
      </w:pPr>
      <w:r>
        <w:rPr>
          <w:rFonts w:eastAsiaTheme="minorEastAsia" w:hint="eastAsia"/>
        </w:rPr>
        <w:t>[</w:t>
      </w:r>
      <w:r>
        <w:rPr>
          <w:rFonts w:eastAsiaTheme="minorEastAsia"/>
        </w:rPr>
        <w:t xml:space="preserve">2] </w:t>
      </w:r>
      <w:r w:rsidRPr="004A29AC">
        <w:rPr>
          <w:rFonts w:eastAsiaTheme="minorEastAsia"/>
        </w:rPr>
        <w:t>R4-2507910</w:t>
      </w:r>
      <w:r>
        <w:rPr>
          <w:rFonts w:eastAsiaTheme="minorEastAsia"/>
        </w:rPr>
        <w:t xml:space="preserve">, </w:t>
      </w:r>
      <w:r w:rsidRPr="004A29AC">
        <w:rPr>
          <w:rFonts w:eastAsiaTheme="minorEastAsia"/>
        </w:rPr>
        <w:t>WF on simultaneous Rx/Tx requirements</w:t>
      </w:r>
      <w:r>
        <w:rPr>
          <w:rFonts w:eastAsiaTheme="minorEastAsia"/>
        </w:rPr>
        <w:t>, RAN4#115, May, 2025</w:t>
      </w:r>
    </w:p>
    <w:p w14:paraId="42FE5EC3" w14:textId="03A354D3" w:rsidR="00D0750F" w:rsidRDefault="00D0750F" w:rsidP="005A75F4">
      <w:pPr>
        <w:snapToGrid w:val="0"/>
        <w:spacing w:after="60"/>
        <w:rPr>
          <w:lang w:val="en-US"/>
        </w:rPr>
      </w:pPr>
      <w:r>
        <w:rPr>
          <w:rFonts w:eastAsiaTheme="minorEastAsia" w:hint="eastAsia"/>
        </w:rPr>
        <w:t>[</w:t>
      </w:r>
      <w:r>
        <w:rPr>
          <w:rFonts w:eastAsiaTheme="minorEastAsia"/>
        </w:rPr>
        <w:t xml:space="preserve">3] </w:t>
      </w:r>
      <w:r>
        <w:rPr>
          <w:lang w:val="en-US"/>
        </w:rPr>
        <w:t xml:space="preserve">R4-2502840, </w:t>
      </w:r>
      <w:r w:rsidRPr="00D0750F">
        <w:rPr>
          <w:lang w:val="en-US"/>
        </w:rPr>
        <w:t>WF on simultaneous Rx-Tx</w:t>
      </w:r>
      <w:r>
        <w:rPr>
          <w:lang w:val="en-US"/>
        </w:rPr>
        <w:t>, RAN4#114, February, 2025.</w:t>
      </w:r>
    </w:p>
    <w:p w14:paraId="30497BD4" w14:textId="0875A658" w:rsidR="004A29AC" w:rsidRDefault="00291E2A" w:rsidP="005A75F4">
      <w:pPr>
        <w:snapToGrid w:val="0"/>
        <w:spacing w:after="60"/>
        <w:rPr>
          <w:lang w:val="en-US"/>
        </w:rPr>
      </w:pPr>
      <w:r>
        <w:rPr>
          <w:rFonts w:eastAsiaTheme="minorEastAsia" w:hint="eastAsia"/>
        </w:rPr>
        <w:t>[</w:t>
      </w:r>
      <w:r>
        <w:rPr>
          <w:rFonts w:eastAsiaTheme="minorEastAsia"/>
        </w:rPr>
        <w:t>4</w:t>
      </w:r>
      <w:r>
        <w:rPr>
          <w:rFonts w:eastAsiaTheme="minorEastAsia"/>
        </w:rPr>
        <w:t xml:space="preserve">] </w:t>
      </w:r>
      <w:r w:rsidRPr="00483166">
        <w:rPr>
          <w:rFonts w:eastAsiaTheme="minorEastAsia"/>
        </w:rPr>
        <w:t>R4-2420410</w:t>
      </w:r>
      <w:r>
        <w:rPr>
          <w:rFonts w:eastAsiaTheme="minorEastAsia"/>
        </w:rPr>
        <w:t xml:space="preserve">, </w:t>
      </w:r>
      <w:r w:rsidRPr="00483166">
        <w:rPr>
          <w:rFonts w:eastAsiaTheme="minorEastAsia"/>
        </w:rPr>
        <w:t>LS on UE capability for FDD-FDD inter-band CA simultaneous Rx/Tx</w:t>
      </w:r>
      <w:r>
        <w:rPr>
          <w:rFonts w:eastAsiaTheme="minorEastAsia"/>
        </w:rPr>
        <w:t>, RAN4#113</w:t>
      </w:r>
    </w:p>
    <w:p w14:paraId="521D8AC3" w14:textId="268C03EC" w:rsidR="008460DE" w:rsidRDefault="008460DE" w:rsidP="005A75F4">
      <w:pPr>
        <w:snapToGrid w:val="0"/>
        <w:spacing w:after="60"/>
        <w:rPr>
          <w:rFonts w:eastAsiaTheme="minorEastAsia"/>
        </w:rPr>
      </w:pPr>
      <w:r>
        <w:rPr>
          <w:rFonts w:eastAsiaTheme="minorEastAsia" w:hint="eastAsia"/>
        </w:rPr>
        <w:t>[</w:t>
      </w:r>
      <w:r w:rsidR="00291E2A">
        <w:rPr>
          <w:rFonts w:eastAsiaTheme="minorEastAsia"/>
        </w:rPr>
        <w:t>5</w:t>
      </w:r>
      <w:r>
        <w:rPr>
          <w:rFonts w:eastAsiaTheme="minorEastAsia"/>
        </w:rPr>
        <w:t xml:space="preserve">] </w:t>
      </w:r>
      <w:r w:rsidRPr="008460DE">
        <w:rPr>
          <w:rFonts w:eastAsiaTheme="minorEastAsia"/>
        </w:rPr>
        <w:t>R4-2505124</w:t>
      </w:r>
      <w:r>
        <w:rPr>
          <w:rFonts w:eastAsiaTheme="minorEastAsia"/>
        </w:rPr>
        <w:t xml:space="preserve">, </w:t>
      </w:r>
      <w:r w:rsidRPr="008460DE">
        <w:rPr>
          <w:rFonts w:eastAsiaTheme="minorEastAsia"/>
        </w:rPr>
        <w:t>Reply LS on UE capability for FDD-FDD inter-band CA simultaneous Rx/Tx</w:t>
      </w:r>
      <w:r>
        <w:rPr>
          <w:rFonts w:eastAsiaTheme="minorEastAsia"/>
        </w:rPr>
        <w:t>, RAN4#114bis, April, 2025.</w:t>
      </w:r>
    </w:p>
    <w:p w14:paraId="3FD106F9" w14:textId="7FACA55B" w:rsidR="00BA130C" w:rsidRDefault="00BA130C" w:rsidP="00BA130C">
      <w:pPr>
        <w:snapToGrid w:val="0"/>
        <w:spacing w:after="60"/>
        <w:rPr>
          <w:rFonts w:eastAsiaTheme="minorEastAsia"/>
        </w:rPr>
      </w:pPr>
      <w:r w:rsidRPr="005A75F4">
        <w:rPr>
          <w:rFonts w:eastAsiaTheme="minorEastAsia"/>
        </w:rPr>
        <w:t>[</w:t>
      </w:r>
      <w:r w:rsidR="00291E2A">
        <w:rPr>
          <w:rFonts w:eastAsiaTheme="minorEastAsia"/>
        </w:rPr>
        <w:t>6</w:t>
      </w:r>
      <w:r w:rsidRPr="005A75F4">
        <w:rPr>
          <w:rFonts w:eastAsiaTheme="minorEastAsia"/>
        </w:rPr>
        <w:t>]</w:t>
      </w:r>
      <w:r>
        <w:rPr>
          <w:rFonts w:eastAsiaTheme="minorEastAsia"/>
        </w:rPr>
        <w:t xml:space="preserve"> R4-2411176, Motivation for a new work item on LB+LB CA based on switching in Rel-19, Apple,</w:t>
      </w:r>
      <w:r w:rsidRPr="00C65B87">
        <w:rPr>
          <w:rFonts w:eastAsiaTheme="minorEastAsia"/>
        </w:rPr>
        <w:t xml:space="preserve"> Skyworks Solutions Inc., BT plc, TELUS, Bell Mobility, </w:t>
      </w:r>
      <w:proofErr w:type="spellStart"/>
      <w:r w:rsidRPr="00C65B87">
        <w:rPr>
          <w:rFonts w:eastAsiaTheme="minorEastAsia"/>
        </w:rPr>
        <w:t>Anterix</w:t>
      </w:r>
      <w:proofErr w:type="spellEnd"/>
      <w:r w:rsidRPr="00C65B87">
        <w:rPr>
          <w:rFonts w:eastAsiaTheme="minorEastAsia"/>
        </w:rPr>
        <w:t>, Southern Linc</w:t>
      </w:r>
      <w:r>
        <w:rPr>
          <w:rFonts w:eastAsiaTheme="minorEastAsia"/>
        </w:rPr>
        <w:t>, RAN4#112.</w:t>
      </w:r>
    </w:p>
    <w:p w14:paraId="51055E4A" w14:textId="07862885" w:rsidR="00BA130C" w:rsidRPr="002D19F0" w:rsidRDefault="00BA130C" w:rsidP="00BA130C">
      <w:pPr>
        <w:snapToGrid w:val="0"/>
        <w:spacing w:after="60"/>
        <w:rPr>
          <w:rFonts w:eastAsiaTheme="minorEastAsia"/>
        </w:rPr>
      </w:pPr>
      <w:r w:rsidRPr="005A75F4">
        <w:rPr>
          <w:rFonts w:eastAsiaTheme="minorEastAsia" w:hint="eastAsia"/>
        </w:rPr>
        <w:t>[</w:t>
      </w:r>
      <w:r w:rsidR="00291E2A">
        <w:rPr>
          <w:rFonts w:eastAsiaTheme="minorEastAsia"/>
        </w:rPr>
        <w:t>7</w:t>
      </w:r>
      <w:r w:rsidRPr="005A75F4">
        <w:rPr>
          <w:rFonts w:eastAsiaTheme="minorEastAsia"/>
        </w:rPr>
        <w:t>]</w:t>
      </w:r>
      <w:r>
        <w:rPr>
          <w:rFonts w:eastAsiaTheme="minorEastAsia"/>
        </w:rPr>
        <w:t xml:space="preserve"> </w:t>
      </w:r>
      <w:r w:rsidRPr="00754C57">
        <w:rPr>
          <w:rFonts w:eastAsiaTheme="minorEastAsia"/>
        </w:rPr>
        <w:t>RP-243317</w:t>
      </w:r>
      <w:r>
        <w:rPr>
          <w:rFonts w:eastAsiaTheme="minorEastAsia"/>
        </w:rPr>
        <w:t xml:space="preserve">, </w:t>
      </w:r>
      <w:r w:rsidRPr="00754C57">
        <w:rPr>
          <w:rFonts w:eastAsiaTheme="minorEastAsia"/>
        </w:rPr>
        <w:t>New WID on low band carrier aggregation via switching</w:t>
      </w:r>
      <w:r>
        <w:rPr>
          <w:rFonts w:eastAsiaTheme="minorEastAsia"/>
        </w:rPr>
        <w:t>, RAN#106</w:t>
      </w:r>
    </w:p>
    <w:p w14:paraId="318E6BF9" w14:textId="77777777" w:rsidR="00BA130C" w:rsidRPr="00BA130C" w:rsidRDefault="00BA130C" w:rsidP="005A75F4">
      <w:pPr>
        <w:snapToGrid w:val="0"/>
        <w:spacing w:after="60"/>
        <w:rPr>
          <w:rFonts w:eastAsiaTheme="minorEastAsia"/>
        </w:rPr>
      </w:pPr>
    </w:p>
    <w:p w14:paraId="7DBD43FD" w14:textId="00F1833B" w:rsidR="00F35FC3" w:rsidRPr="00D0289C" w:rsidRDefault="00F35FC3" w:rsidP="00D0289C">
      <w:pPr>
        <w:snapToGrid w:val="0"/>
        <w:spacing w:after="60"/>
        <w:rPr>
          <w:rFonts w:eastAsiaTheme="minorEastAsia"/>
        </w:rPr>
      </w:pPr>
    </w:p>
    <w:sectPr w:rsidR="00F35FC3" w:rsidRPr="00D0289C" w:rsidSect="000A0E84">
      <w:footerReference w:type="default" r:id="rId11"/>
      <w:footnotePr>
        <w:numRestart w:val="eachSect"/>
      </w:footnotePr>
      <w:pgSz w:w="11907" w:h="16840" w:code="9"/>
      <w:pgMar w:top="1418" w:right="1134" w:bottom="1134" w:left="1134"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302F" w16cex:dateUtc="2024-10-07T01: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6CF47" w14:textId="77777777" w:rsidR="006471B0" w:rsidRDefault="006471B0" w:rsidP="0052762B">
      <w:r>
        <w:separator/>
      </w:r>
    </w:p>
  </w:endnote>
  <w:endnote w:type="continuationSeparator" w:id="0">
    <w:p w14:paraId="36315A49" w14:textId="77777777" w:rsidR="006471B0" w:rsidRDefault="006471B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乫c"/>
    <w:panose1 w:val="02020609040205080304"/>
    <w:charset w:val="80"/>
    <w:family w:val="modern"/>
    <w:pitch w:val="fixed"/>
    <w:sig w:usb0="E00002FF" w:usb1="6AC7FDFB" w:usb2="08000012" w:usb3="00000000" w:csb0="0002009F"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等线">
    <w:altName w:val="μè??"/>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C7CE" w14:textId="77777777" w:rsidR="00353EA3" w:rsidRDefault="00353EA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CBE43" w14:textId="77777777" w:rsidR="006471B0" w:rsidRDefault="006471B0" w:rsidP="0052762B">
      <w:r>
        <w:separator/>
      </w:r>
    </w:p>
  </w:footnote>
  <w:footnote w:type="continuationSeparator" w:id="0">
    <w:p w14:paraId="00C52D86" w14:textId="77777777" w:rsidR="006471B0" w:rsidRDefault="006471B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8F8C8D4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1674"/>
        </w:tabs>
        <w:ind w:left="1277"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6F4D3808"/>
    <w:multiLevelType w:val="hybridMultilevel"/>
    <w:tmpl w:val="B6DA6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5"/>
  </w:num>
  <w:num w:numId="4">
    <w:abstractNumId w:val="8"/>
  </w:num>
  <w:num w:numId="5">
    <w:abstractNumId w:val="7"/>
  </w:num>
  <w:num w:numId="6">
    <w:abstractNumId w:val="3"/>
  </w:num>
  <w:num w:numId="7">
    <w:abstractNumId w:val="6"/>
  </w:num>
  <w:num w:numId="8">
    <w:abstractNumId w:val="10"/>
  </w:num>
  <w:num w:numId="9">
    <w:abstractNumId w:val="2"/>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077DB"/>
    <w:rsid w:val="000116BD"/>
    <w:rsid w:val="0001203E"/>
    <w:rsid w:val="00012217"/>
    <w:rsid w:val="000122DC"/>
    <w:rsid w:val="00013738"/>
    <w:rsid w:val="000145A0"/>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029"/>
    <w:rsid w:val="0002316F"/>
    <w:rsid w:val="0002394E"/>
    <w:rsid w:val="00023F5A"/>
    <w:rsid w:val="0002475A"/>
    <w:rsid w:val="0002483B"/>
    <w:rsid w:val="00024B66"/>
    <w:rsid w:val="00024EBF"/>
    <w:rsid w:val="000256A1"/>
    <w:rsid w:val="00026904"/>
    <w:rsid w:val="00026A59"/>
    <w:rsid w:val="00026F5D"/>
    <w:rsid w:val="0002723D"/>
    <w:rsid w:val="00027543"/>
    <w:rsid w:val="00027D59"/>
    <w:rsid w:val="00031165"/>
    <w:rsid w:val="0003125D"/>
    <w:rsid w:val="00031383"/>
    <w:rsid w:val="000314C4"/>
    <w:rsid w:val="00031CC0"/>
    <w:rsid w:val="00032561"/>
    <w:rsid w:val="000326E2"/>
    <w:rsid w:val="00032977"/>
    <w:rsid w:val="00032B28"/>
    <w:rsid w:val="00033F47"/>
    <w:rsid w:val="00034BF3"/>
    <w:rsid w:val="00034F28"/>
    <w:rsid w:val="0003564D"/>
    <w:rsid w:val="0003595C"/>
    <w:rsid w:val="00035A0B"/>
    <w:rsid w:val="000365C5"/>
    <w:rsid w:val="000368DA"/>
    <w:rsid w:val="00037162"/>
    <w:rsid w:val="000402AB"/>
    <w:rsid w:val="00040311"/>
    <w:rsid w:val="00040E40"/>
    <w:rsid w:val="00041AF5"/>
    <w:rsid w:val="000423EA"/>
    <w:rsid w:val="0004270D"/>
    <w:rsid w:val="000429CC"/>
    <w:rsid w:val="000429F8"/>
    <w:rsid w:val="00042FB4"/>
    <w:rsid w:val="00043764"/>
    <w:rsid w:val="00043EF9"/>
    <w:rsid w:val="00044123"/>
    <w:rsid w:val="0004445D"/>
    <w:rsid w:val="00044985"/>
    <w:rsid w:val="00044AD6"/>
    <w:rsid w:val="00045776"/>
    <w:rsid w:val="00045975"/>
    <w:rsid w:val="00045B61"/>
    <w:rsid w:val="00045E7B"/>
    <w:rsid w:val="00045EEA"/>
    <w:rsid w:val="00045FD7"/>
    <w:rsid w:val="00046905"/>
    <w:rsid w:val="00046ED1"/>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0D2"/>
    <w:rsid w:val="000566AB"/>
    <w:rsid w:val="00056C6C"/>
    <w:rsid w:val="00056CBD"/>
    <w:rsid w:val="00056E08"/>
    <w:rsid w:val="00056EAE"/>
    <w:rsid w:val="00057673"/>
    <w:rsid w:val="00057835"/>
    <w:rsid w:val="0005790C"/>
    <w:rsid w:val="000601AF"/>
    <w:rsid w:val="0006025F"/>
    <w:rsid w:val="00060A03"/>
    <w:rsid w:val="00060ACD"/>
    <w:rsid w:val="00060D25"/>
    <w:rsid w:val="00060DC3"/>
    <w:rsid w:val="00060F77"/>
    <w:rsid w:val="0006111E"/>
    <w:rsid w:val="00061B98"/>
    <w:rsid w:val="00062095"/>
    <w:rsid w:val="00062143"/>
    <w:rsid w:val="000623F7"/>
    <w:rsid w:val="000625A8"/>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1AA"/>
    <w:rsid w:val="000704B6"/>
    <w:rsid w:val="000704E1"/>
    <w:rsid w:val="000707F9"/>
    <w:rsid w:val="00070E01"/>
    <w:rsid w:val="00070FF8"/>
    <w:rsid w:val="00071528"/>
    <w:rsid w:val="00071608"/>
    <w:rsid w:val="00071DB0"/>
    <w:rsid w:val="00071FAF"/>
    <w:rsid w:val="000723F1"/>
    <w:rsid w:val="000729A8"/>
    <w:rsid w:val="00072FAF"/>
    <w:rsid w:val="00073D2A"/>
    <w:rsid w:val="00073D3B"/>
    <w:rsid w:val="0007587C"/>
    <w:rsid w:val="000761DE"/>
    <w:rsid w:val="00076EC6"/>
    <w:rsid w:val="00077062"/>
    <w:rsid w:val="00077F33"/>
    <w:rsid w:val="00077F71"/>
    <w:rsid w:val="00080995"/>
    <w:rsid w:val="00080C3A"/>
    <w:rsid w:val="000811DA"/>
    <w:rsid w:val="00081655"/>
    <w:rsid w:val="00081D13"/>
    <w:rsid w:val="00082230"/>
    <w:rsid w:val="0008266E"/>
    <w:rsid w:val="000826DC"/>
    <w:rsid w:val="0008285B"/>
    <w:rsid w:val="000834ED"/>
    <w:rsid w:val="00083AA9"/>
    <w:rsid w:val="00084716"/>
    <w:rsid w:val="00084835"/>
    <w:rsid w:val="000852CC"/>
    <w:rsid w:val="00085347"/>
    <w:rsid w:val="00085AC1"/>
    <w:rsid w:val="00085B28"/>
    <w:rsid w:val="00085C18"/>
    <w:rsid w:val="00085F0F"/>
    <w:rsid w:val="000860C0"/>
    <w:rsid w:val="000866BA"/>
    <w:rsid w:val="00086BFD"/>
    <w:rsid w:val="00086C6A"/>
    <w:rsid w:val="00086DDF"/>
    <w:rsid w:val="0008727B"/>
    <w:rsid w:val="0008742B"/>
    <w:rsid w:val="00087D25"/>
    <w:rsid w:val="0009044A"/>
    <w:rsid w:val="00090604"/>
    <w:rsid w:val="000906DD"/>
    <w:rsid w:val="00090C45"/>
    <w:rsid w:val="0009137A"/>
    <w:rsid w:val="00092023"/>
    <w:rsid w:val="000923CF"/>
    <w:rsid w:val="00092DFE"/>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26E"/>
    <w:rsid w:val="000A02B6"/>
    <w:rsid w:val="000A047F"/>
    <w:rsid w:val="000A0E84"/>
    <w:rsid w:val="000A16D1"/>
    <w:rsid w:val="000A1CF5"/>
    <w:rsid w:val="000A244A"/>
    <w:rsid w:val="000A2529"/>
    <w:rsid w:val="000A2B13"/>
    <w:rsid w:val="000A3647"/>
    <w:rsid w:val="000A3954"/>
    <w:rsid w:val="000A471D"/>
    <w:rsid w:val="000A476C"/>
    <w:rsid w:val="000A4FA1"/>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5FC"/>
    <w:rsid w:val="000B1F1E"/>
    <w:rsid w:val="000B36BA"/>
    <w:rsid w:val="000B393B"/>
    <w:rsid w:val="000B3B5B"/>
    <w:rsid w:val="000B3F62"/>
    <w:rsid w:val="000B4049"/>
    <w:rsid w:val="000B43FA"/>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4D"/>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4B79"/>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6BFF"/>
    <w:rsid w:val="000E72B4"/>
    <w:rsid w:val="000E79C6"/>
    <w:rsid w:val="000E7E6F"/>
    <w:rsid w:val="000E7F3B"/>
    <w:rsid w:val="000F031A"/>
    <w:rsid w:val="000F0576"/>
    <w:rsid w:val="000F0938"/>
    <w:rsid w:val="000F0F33"/>
    <w:rsid w:val="000F13CD"/>
    <w:rsid w:val="000F1845"/>
    <w:rsid w:val="000F1938"/>
    <w:rsid w:val="000F1A6C"/>
    <w:rsid w:val="000F271E"/>
    <w:rsid w:val="000F27AE"/>
    <w:rsid w:val="000F283B"/>
    <w:rsid w:val="000F2E0F"/>
    <w:rsid w:val="000F328C"/>
    <w:rsid w:val="000F3697"/>
    <w:rsid w:val="000F3776"/>
    <w:rsid w:val="000F42D3"/>
    <w:rsid w:val="000F4489"/>
    <w:rsid w:val="000F4599"/>
    <w:rsid w:val="000F4C3C"/>
    <w:rsid w:val="000F50AE"/>
    <w:rsid w:val="000F5488"/>
    <w:rsid w:val="000F5530"/>
    <w:rsid w:val="000F554E"/>
    <w:rsid w:val="000F571C"/>
    <w:rsid w:val="000F5B26"/>
    <w:rsid w:val="000F685F"/>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051"/>
    <w:rsid w:val="001033CA"/>
    <w:rsid w:val="00103B63"/>
    <w:rsid w:val="00103C9E"/>
    <w:rsid w:val="00103ECD"/>
    <w:rsid w:val="00104336"/>
    <w:rsid w:val="00104A73"/>
    <w:rsid w:val="00104E04"/>
    <w:rsid w:val="00105089"/>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20A"/>
    <w:rsid w:val="001137A5"/>
    <w:rsid w:val="00114108"/>
    <w:rsid w:val="0011455C"/>
    <w:rsid w:val="001145CD"/>
    <w:rsid w:val="00114764"/>
    <w:rsid w:val="00114774"/>
    <w:rsid w:val="00115AEF"/>
    <w:rsid w:val="00116080"/>
    <w:rsid w:val="0011608E"/>
    <w:rsid w:val="00116445"/>
    <w:rsid w:val="00116912"/>
    <w:rsid w:val="00116DF7"/>
    <w:rsid w:val="00117964"/>
    <w:rsid w:val="00120344"/>
    <w:rsid w:val="00120BBB"/>
    <w:rsid w:val="00120E18"/>
    <w:rsid w:val="0012120A"/>
    <w:rsid w:val="00123086"/>
    <w:rsid w:val="00123389"/>
    <w:rsid w:val="00123D56"/>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2BF"/>
    <w:rsid w:val="00130DD2"/>
    <w:rsid w:val="00131381"/>
    <w:rsid w:val="0013179B"/>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5D72"/>
    <w:rsid w:val="001365A7"/>
    <w:rsid w:val="00136AFA"/>
    <w:rsid w:val="00136B9F"/>
    <w:rsid w:val="00136ECA"/>
    <w:rsid w:val="00136F48"/>
    <w:rsid w:val="001375DC"/>
    <w:rsid w:val="00137C8F"/>
    <w:rsid w:val="0014012E"/>
    <w:rsid w:val="00140404"/>
    <w:rsid w:val="001409DE"/>
    <w:rsid w:val="00140CB7"/>
    <w:rsid w:val="00140EC0"/>
    <w:rsid w:val="00140F21"/>
    <w:rsid w:val="001413B4"/>
    <w:rsid w:val="001413F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2AD"/>
    <w:rsid w:val="00151719"/>
    <w:rsid w:val="001517E3"/>
    <w:rsid w:val="0015196F"/>
    <w:rsid w:val="00151DCD"/>
    <w:rsid w:val="001525A6"/>
    <w:rsid w:val="00152971"/>
    <w:rsid w:val="00152BC7"/>
    <w:rsid w:val="00152C30"/>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0F0A"/>
    <w:rsid w:val="00161350"/>
    <w:rsid w:val="00161477"/>
    <w:rsid w:val="00162BF8"/>
    <w:rsid w:val="00162C66"/>
    <w:rsid w:val="00163100"/>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4DF4"/>
    <w:rsid w:val="001857B8"/>
    <w:rsid w:val="00186074"/>
    <w:rsid w:val="00186574"/>
    <w:rsid w:val="00186790"/>
    <w:rsid w:val="0018686E"/>
    <w:rsid w:val="0018689E"/>
    <w:rsid w:val="00186918"/>
    <w:rsid w:val="00186C1D"/>
    <w:rsid w:val="00186DFE"/>
    <w:rsid w:val="00186FED"/>
    <w:rsid w:val="00187339"/>
    <w:rsid w:val="001874A3"/>
    <w:rsid w:val="001878F6"/>
    <w:rsid w:val="001879F5"/>
    <w:rsid w:val="00187B6A"/>
    <w:rsid w:val="00187FCD"/>
    <w:rsid w:val="001904A4"/>
    <w:rsid w:val="0019090B"/>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590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15A"/>
    <w:rsid w:val="001A2232"/>
    <w:rsid w:val="001A234D"/>
    <w:rsid w:val="001A2C5E"/>
    <w:rsid w:val="001A2EA7"/>
    <w:rsid w:val="001A35A6"/>
    <w:rsid w:val="001A3A15"/>
    <w:rsid w:val="001A45F5"/>
    <w:rsid w:val="001A45FD"/>
    <w:rsid w:val="001A4830"/>
    <w:rsid w:val="001A52F1"/>
    <w:rsid w:val="001A54D6"/>
    <w:rsid w:val="001A55C0"/>
    <w:rsid w:val="001A5696"/>
    <w:rsid w:val="001A5951"/>
    <w:rsid w:val="001A5C57"/>
    <w:rsid w:val="001A5FAC"/>
    <w:rsid w:val="001A652B"/>
    <w:rsid w:val="001A65B0"/>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029"/>
    <w:rsid w:val="001C1240"/>
    <w:rsid w:val="001C1544"/>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7C7"/>
    <w:rsid w:val="001C7A02"/>
    <w:rsid w:val="001C7F77"/>
    <w:rsid w:val="001D0466"/>
    <w:rsid w:val="001D1183"/>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717"/>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043"/>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2A1E"/>
    <w:rsid w:val="001F2B4F"/>
    <w:rsid w:val="001F30BA"/>
    <w:rsid w:val="001F32E5"/>
    <w:rsid w:val="001F333F"/>
    <w:rsid w:val="001F341A"/>
    <w:rsid w:val="001F35D7"/>
    <w:rsid w:val="001F37D0"/>
    <w:rsid w:val="001F3909"/>
    <w:rsid w:val="001F39C3"/>
    <w:rsid w:val="001F3D45"/>
    <w:rsid w:val="001F44EB"/>
    <w:rsid w:val="001F5512"/>
    <w:rsid w:val="001F5669"/>
    <w:rsid w:val="001F5890"/>
    <w:rsid w:val="001F5C92"/>
    <w:rsid w:val="001F626C"/>
    <w:rsid w:val="001F67A4"/>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D52"/>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34CF"/>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710"/>
    <w:rsid w:val="00224853"/>
    <w:rsid w:val="00224B3A"/>
    <w:rsid w:val="00224D01"/>
    <w:rsid w:val="0022506C"/>
    <w:rsid w:val="002251E9"/>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72F"/>
    <w:rsid w:val="00240ACA"/>
    <w:rsid w:val="00240F78"/>
    <w:rsid w:val="0024120C"/>
    <w:rsid w:val="002415BD"/>
    <w:rsid w:val="00241962"/>
    <w:rsid w:val="00241C6C"/>
    <w:rsid w:val="00241EC6"/>
    <w:rsid w:val="00242047"/>
    <w:rsid w:val="00243060"/>
    <w:rsid w:val="00243395"/>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3FBD"/>
    <w:rsid w:val="002542C8"/>
    <w:rsid w:val="0025430D"/>
    <w:rsid w:val="00254398"/>
    <w:rsid w:val="0025489A"/>
    <w:rsid w:val="00254B95"/>
    <w:rsid w:val="00255146"/>
    <w:rsid w:val="00255226"/>
    <w:rsid w:val="00255B5C"/>
    <w:rsid w:val="00255C99"/>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024"/>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2A"/>
    <w:rsid w:val="00291E51"/>
    <w:rsid w:val="00292065"/>
    <w:rsid w:val="002925A6"/>
    <w:rsid w:val="002928F7"/>
    <w:rsid w:val="00292D6B"/>
    <w:rsid w:val="00292D84"/>
    <w:rsid w:val="00292DA5"/>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90B"/>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7AE"/>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4E9"/>
    <w:rsid w:val="002B7508"/>
    <w:rsid w:val="002B768E"/>
    <w:rsid w:val="002B7B57"/>
    <w:rsid w:val="002C01E3"/>
    <w:rsid w:val="002C0617"/>
    <w:rsid w:val="002C07EA"/>
    <w:rsid w:val="002C0FBE"/>
    <w:rsid w:val="002C24C5"/>
    <w:rsid w:val="002C3755"/>
    <w:rsid w:val="002C3D43"/>
    <w:rsid w:val="002C43AB"/>
    <w:rsid w:val="002C443E"/>
    <w:rsid w:val="002C497E"/>
    <w:rsid w:val="002C50C6"/>
    <w:rsid w:val="002C56D8"/>
    <w:rsid w:val="002C5771"/>
    <w:rsid w:val="002C57C8"/>
    <w:rsid w:val="002C58DA"/>
    <w:rsid w:val="002C5F6B"/>
    <w:rsid w:val="002C629E"/>
    <w:rsid w:val="002C631A"/>
    <w:rsid w:val="002C6460"/>
    <w:rsid w:val="002C6938"/>
    <w:rsid w:val="002C6AC2"/>
    <w:rsid w:val="002C6E7C"/>
    <w:rsid w:val="002C6EC6"/>
    <w:rsid w:val="002C72EA"/>
    <w:rsid w:val="002C73C7"/>
    <w:rsid w:val="002C7491"/>
    <w:rsid w:val="002C78FB"/>
    <w:rsid w:val="002D071A"/>
    <w:rsid w:val="002D0E3F"/>
    <w:rsid w:val="002D190A"/>
    <w:rsid w:val="002D19F0"/>
    <w:rsid w:val="002D27D2"/>
    <w:rsid w:val="002D292B"/>
    <w:rsid w:val="002D29F6"/>
    <w:rsid w:val="002D3065"/>
    <w:rsid w:val="002D39A1"/>
    <w:rsid w:val="002D409B"/>
    <w:rsid w:val="002D4241"/>
    <w:rsid w:val="002D4B4A"/>
    <w:rsid w:val="002D4C48"/>
    <w:rsid w:val="002D5611"/>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011"/>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C7F"/>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8"/>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E1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183"/>
    <w:rsid w:val="003435B3"/>
    <w:rsid w:val="003442B0"/>
    <w:rsid w:val="00344673"/>
    <w:rsid w:val="003446BA"/>
    <w:rsid w:val="00344E0A"/>
    <w:rsid w:val="00345721"/>
    <w:rsid w:val="00345995"/>
    <w:rsid w:val="00345AFD"/>
    <w:rsid w:val="00345B95"/>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0DB"/>
    <w:rsid w:val="00353C5C"/>
    <w:rsid w:val="00353EA3"/>
    <w:rsid w:val="00354410"/>
    <w:rsid w:val="0035466A"/>
    <w:rsid w:val="003546DD"/>
    <w:rsid w:val="00354C7F"/>
    <w:rsid w:val="00354FF1"/>
    <w:rsid w:val="00355045"/>
    <w:rsid w:val="0035574C"/>
    <w:rsid w:val="00355CD5"/>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32"/>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272"/>
    <w:rsid w:val="00381934"/>
    <w:rsid w:val="00381A7A"/>
    <w:rsid w:val="00382108"/>
    <w:rsid w:val="00382335"/>
    <w:rsid w:val="00382D5F"/>
    <w:rsid w:val="003831B3"/>
    <w:rsid w:val="00383229"/>
    <w:rsid w:val="00383502"/>
    <w:rsid w:val="00384028"/>
    <w:rsid w:val="00384241"/>
    <w:rsid w:val="00384961"/>
    <w:rsid w:val="00384FAD"/>
    <w:rsid w:val="003850A9"/>
    <w:rsid w:val="003859CC"/>
    <w:rsid w:val="003865CA"/>
    <w:rsid w:val="00386D37"/>
    <w:rsid w:val="00386E67"/>
    <w:rsid w:val="00387466"/>
    <w:rsid w:val="00387A30"/>
    <w:rsid w:val="0039007C"/>
    <w:rsid w:val="003901C2"/>
    <w:rsid w:val="003903D3"/>
    <w:rsid w:val="003905AB"/>
    <w:rsid w:val="00390A5A"/>
    <w:rsid w:val="00390E9F"/>
    <w:rsid w:val="00390EAA"/>
    <w:rsid w:val="00391484"/>
    <w:rsid w:val="0039167C"/>
    <w:rsid w:val="00391A97"/>
    <w:rsid w:val="00391D6F"/>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374"/>
    <w:rsid w:val="003A37E1"/>
    <w:rsid w:val="003A4393"/>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079"/>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2AF4"/>
    <w:rsid w:val="003C2E83"/>
    <w:rsid w:val="003C32B5"/>
    <w:rsid w:val="003C3362"/>
    <w:rsid w:val="003C381B"/>
    <w:rsid w:val="003C3A38"/>
    <w:rsid w:val="003C4C8F"/>
    <w:rsid w:val="003C51BD"/>
    <w:rsid w:val="003C5C76"/>
    <w:rsid w:val="003C6879"/>
    <w:rsid w:val="003C6E8A"/>
    <w:rsid w:val="003C7296"/>
    <w:rsid w:val="003C7437"/>
    <w:rsid w:val="003D072B"/>
    <w:rsid w:val="003D0774"/>
    <w:rsid w:val="003D07D5"/>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5A"/>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5E4"/>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76C"/>
    <w:rsid w:val="00401E1C"/>
    <w:rsid w:val="00401F44"/>
    <w:rsid w:val="004029DE"/>
    <w:rsid w:val="00402FA2"/>
    <w:rsid w:val="0040356F"/>
    <w:rsid w:val="004035EE"/>
    <w:rsid w:val="004039C8"/>
    <w:rsid w:val="0040416A"/>
    <w:rsid w:val="004049B0"/>
    <w:rsid w:val="00405597"/>
    <w:rsid w:val="004061CC"/>
    <w:rsid w:val="00406346"/>
    <w:rsid w:val="004065E5"/>
    <w:rsid w:val="0040662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409"/>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D39"/>
    <w:rsid w:val="00424F22"/>
    <w:rsid w:val="0042525F"/>
    <w:rsid w:val="0042545F"/>
    <w:rsid w:val="004259B7"/>
    <w:rsid w:val="00425AD1"/>
    <w:rsid w:val="004272E5"/>
    <w:rsid w:val="00427310"/>
    <w:rsid w:val="00427481"/>
    <w:rsid w:val="004278F1"/>
    <w:rsid w:val="0043014D"/>
    <w:rsid w:val="00430324"/>
    <w:rsid w:val="00430F30"/>
    <w:rsid w:val="0043115E"/>
    <w:rsid w:val="004312BB"/>
    <w:rsid w:val="0043156E"/>
    <w:rsid w:val="0043185D"/>
    <w:rsid w:val="004319F6"/>
    <w:rsid w:val="00431BEF"/>
    <w:rsid w:val="00431E59"/>
    <w:rsid w:val="00432212"/>
    <w:rsid w:val="004325D8"/>
    <w:rsid w:val="00432A6B"/>
    <w:rsid w:val="0043347C"/>
    <w:rsid w:val="00433A13"/>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9A0"/>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04"/>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C8B"/>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9A2"/>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847"/>
    <w:rsid w:val="00472B07"/>
    <w:rsid w:val="00473001"/>
    <w:rsid w:val="004732B7"/>
    <w:rsid w:val="004734ED"/>
    <w:rsid w:val="00474557"/>
    <w:rsid w:val="00474D35"/>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B4C"/>
    <w:rsid w:val="00482DD9"/>
    <w:rsid w:val="00483166"/>
    <w:rsid w:val="004835A3"/>
    <w:rsid w:val="004837D1"/>
    <w:rsid w:val="00483943"/>
    <w:rsid w:val="0048471D"/>
    <w:rsid w:val="00485C7E"/>
    <w:rsid w:val="00485F39"/>
    <w:rsid w:val="00486219"/>
    <w:rsid w:val="004862BD"/>
    <w:rsid w:val="00486394"/>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28B"/>
    <w:rsid w:val="00494FA2"/>
    <w:rsid w:val="004953D7"/>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9AC"/>
    <w:rsid w:val="004A2F73"/>
    <w:rsid w:val="004A3487"/>
    <w:rsid w:val="004A3533"/>
    <w:rsid w:val="004A3A35"/>
    <w:rsid w:val="004A3A7D"/>
    <w:rsid w:val="004A3B9B"/>
    <w:rsid w:val="004A4D01"/>
    <w:rsid w:val="004A567A"/>
    <w:rsid w:val="004A6462"/>
    <w:rsid w:val="004A6954"/>
    <w:rsid w:val="004A6D92"/>
    <w:rsid w:val="004A6F2C"/>
    <w:rsid w:val="004A72AC"/>
    <w:rsid w:val="004A72C0"/>
    <w:rsid w:val="004A77EE"/>
    <w:rsid w:val="004A7B8A"/>
    <w:rsid w:val="004B01C9"/>
    <w:rsid w:val="004B1249"/>
    <w:rsid w:val="004B170F"/>
    <w:rsid w:val="004B1ACE"/>
    <w:rsid w:val="004B1D2E"/>
    <w:rsid w:val="004B1EEB"/>
    <w:rsid w:val="004B2078"/>
    <w:rsid w:val="004B2D6B"/>
    <w:rsid w:val="004B2D8E"/>
    <w:rsid w:val="004B2F3B"/>
    <w:rsid w:val="004B31FA"/>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189E"/>
    <w:rsid w:val="004D29AF"/>
    <w:rsid w:val="004D2A56"/>
    <w:rsid w:val="004D2B0B"/>
    <w:rsid w:val="004D38BD"/>
    <w:rsid w:val="004D3ADB"/>
    <w:rsid w:val="004D3C23"/>
    <w:rsid w:val="004D4538"/>
    <w:rsid w:val="004D4A9F"/>
    <w:rsid w:val="004D4FB6"/>
    <w:rsid w:val="004D572F"/>
    <w:rsid w:val="004D5BD1"/>
    <w:rsid w:val="004D5DB5"/>
    <w:rsid w:val="004D6329"/>
    <w:rsid w:val="004D6F93"/>
    <w:rsid w:val="004D6FDD"/>
    <w:rsid w:val="004D714B"/>
    <w:rsid w:val="004D7507"/>
    <w:rsid w:val="004D75F0"/>
    <w:rsid w:val="004D7661"/>
    <w:rsid w:val="004D7820"/>
    <w:rsid w:val="004D78ED"/>
    <w:rsid w:val="004D7F43"/>
    <w:rsid w:val="004D7F5E"/>
    <w:rsid w:val="004E0D66"/>
    <w:rsid w:val="004E1CD3"/>
    <w:rsid w:val="004E20CF"/>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2AA0"/>
    <w:rsid w:val="004F4010"/>
    <w:rsid w:val="004F52E1"/>
    <w:rsid w:val="004F5986"/>
    <w:rsid w:val="004F622E"/>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2CA6"/>
    <w:rsid w:val="0050300A"/>
    <w:rsid w:val="0050307D"/>
    <w:rsid w:val="00503307"/>
    <w:rsid w:val="00503317"/>
    <w:rsid w:val="00503816"/>
    <w:rsid w:val="00503D5E"/>
    <w:rsid w:val="00503E57"/>
    <w:rsid w:val="00503ECC"/>
    <w:rsid w:val="00504216"/>
    <w:rsid w:val="005045BA"/>
    <w:rsid w:val="0050467F"/>
    <w:rsid w:val="00504985"/>
    <w:rsid w:val="0050509E"/>
    <w:rsid w:val="0050540E"/>
    <w:rsid w:val="00505528"/>
    <w:rsid w:val="005059E2"/>
    <w:rsid w:val="00505C31"/>
    <w:rsid w:val="00505CC2"/>
    <w:rsid w:val="005060E6"/>
    <w:rsid w:val="00506149"/>
    <w:rsid w:val="00506658"/>
    <w:rsid w:val="0050706F"/>
    <w:rsid w:val="0050707A"/>
    <w:rsid w:val="0051016B"/>
    <w:rsid w:val="00510B56"/>
    <w:rsid w:val="00511CD1"/>
    <w:rsid w:val="00511E3E"/>
    <w:rsid w:val="0051210E"/>
    <w:rsid w:val="0051270C"/>
    <w:rsid w:val="00512754"/>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2C91"/>
    <w:rsid w:val="005235DC"/>
    <w:rsid w:val="00523831"/>
    <w:rsid w:val="005238A9"/>
    <w:rsid w:val="00523AE9"/>
    <w:rsid w:val="00523B71"/>
    <w:rsid w:val="0052439D"/>
    <w:rsid w:val="00524803"/>
    <w:rsid w:val="00524AFD"/>
    <w:rsid w:val="005256B0"/>
    <w:rsid w:val="00525BF0"/>
    <w:rsid w:val="00525C2F"/>
    <w:rsid w:val="00526671"/>
    <w:rsid w:val="00526760"/>
    <w:rsid w:val="00526855"/>
    <w:rsid w:val="00526CAD"/>
    <w:rsid w:val="00526E2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4D0"/>
    <w:rsid w:val="0053350F"/>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64F"/>
    <w:rsid w:val="00540ACA"/>
    <w:rsid w:val="0054133C"/>
    <w:rsid w:val="0054146C"/>
    <w:rsid w:val="00541579"/>
    <w:rsid w:val="00541CDF"/>
    <w:rsid w:val="00542C54"/>
    <w:rsid w:val="005433E8"/>
    <w:rsid w:val="005437BB"/>
    <w:rsid w:val="005438EC"/>
    <w:rsid w:val="00543F2E"/>
    <w:rsid w:val="0054466D"/>
    <w:rsid w:val="00545F72"/>
    <w:rsid w:val="005465FD"/>
    <w:rsid w:val="005468EB"/>
    <w:rsid w:val="0054729A"/>
    <w:rsid w:val="0054738D"/>
    <w:rsid w:val="0054769B"/>
    <w:rsid w:val="00547C2B"/>
    <w:rsid w:val="00547DD6"/>
    <w:rsid w:val="00547DFE"/>
    <w:rsid w:val="00547EBF"/>
    <w:rsid w:val="00550114"/>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3A89"/>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00C"/>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BAE"/>
    <w:rsid w:val="00573DD4"/>
    <w:rsid w:val="00574653"/>
    <w:rsid w:val="005746C5"/>
    <w:rsid w:val="00574EE7"/>
    <w:rsid w:val="00575332"/>
    <w:rsid w:val="0057539D"/>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49EE"/>
    <w:rsid w:val="00585213"/>
    <w:rsid w:val="0058532E"/>
    <w:rsid w:val="0058561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299"/>
    <w:rsid w:val="0059242A"/>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937"/>
    <w:rsid w:val="005A2A9B"/>
    <w:rsid w:val="005A3CCD"/>
    <w:rsid w:val="005A41E4"/>
    <w:rsid w:val="005A48F1"/>
    <w:rsid w:val="005A4A2A"/>
    <w:rsid w:val="005A6953"/>
    <w:rsid w:val="005A6AD0"/>
    <w:rsid w:val="005A75F4"/>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9BB"/>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DE9"/>
    <w:rsid w:val="005C0FCA"/>
    <w:rsid w:val="005C107E"/>
    <w:rsid w:val="005C1FF0"/>
    <w:rsid w:val="005C25A5"/>
    <w:rsid w:val="005C28E0"/>
    <w:rsid w:val="005C319B"/>
    <w:rsid w:val="005C39FB"/>
    <w:rsid w:val="005C3EB0"/>
    <w:rsid w:val="005C3F6D"/>
    <w:rsid w:val="005C3FF6"/>
    <w:rsid w:val="005C4047"/>
    <w:rsid w:val="005C4077"/>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6FCF"/>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84E"/>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0DE9"/>
    <w:rsid w:val="005E1073"/>
    <w:rsid w:val="005E1C09"/>
    <w:rsid w:val="005E1C81"/>
    <w:rsid w:val="005E1D8E"/>
    <w:rsid w:val="005E1F43"/>
    <w:rsid w:val="005E1F6F"/>
    <w:rsid w:val="005E2050"/>
    <w:rsid w:val="005E312B"/>
    <w:rsid w:val="005E4410"/>
    <w:rsid w:val="005E4829"/>
    <w:rsid w:val="005E4EA1"/>
    <w:rsid w:val="005E51F7"/>
    <w:rsid w:val="005E5E8F"/>
    <w:rsid w:val="005E611E"/>
    <w:rsid w:val="005E676A"/>
    <w:rsid w:val="005E6A78"/>
    <w:rsid w:val="005E6CD2"/>
    <w:rsid w:val="005E6D8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6E8"/>
    <w:rsid w:val="0060577E"/>
    <w:rsid w:val="00605A45"/>
    <w:rsid w:val="006064F7"/>
    <w:rsid w:val="00606620"/>
    <w:rsid w:val="00606976"/>
    <w:rsid w:val="00606DD8"/>
    <w:rsid w:val="00607468"/>
    <w:rsid w:val="006075A1"/>
    <w:rsid w:val="00607C77"/>
    <w:rsid w:val="00607D29"/>
    <w:rsid w:val="00607DF3"/>
    <w:rsid w:val="0061010F"/>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1A0"/>
    <w:rsid w:val="006226D0"/>
    <w:rsid w:val="00622BDA"/>
    <w:rsid w:val="00622F15"/>
    <w:rsid w:val="0062322C"/>
    <w:rsid w:val="00623A39"/>
    <w:rsid w:val="0062436A"/>
    <w:rsid w:val="00624DAC"/>
    <w:rsid w:val="00625F3F"/>
    <w:rsid w:val="00625F4E"/>
    <w:rsid w:val="00626AF5"/>
    <w:rsid w:val="00626C0D"/>
    <w:rsid w:val="00627034"/>
    <w:rsid w:val="0062710E"/>
    <w:rsid w:val="00627285"/>
    <w:rsid w:val="00627325"/>
    <w:rsid w:val="006274B4"/>
    <w:rsid w:val="0062751C"/>
    <w:rsid w:val="006276A9"/>
    <w:rsid w:val="0063032D"/>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5D5B"/>
    <w:rsid w:val="006365C0"/>
    <w:rsid w:val="006368D3"/>
    <w:rsid w:val="00636F5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1B0"/>
    <w:rsid w:val="00647397"/>
    <w:rsid w:val="006478F4"/>
    <w:rsid w:val="00647AF3"/>
    <w:rsid w:val="00647CAE"/>
    <w:rsid w:val="006500E4"/>
    <w:rsid w:val="00650700"/>
    <w:rsid w:val="00650D26"/>
    <w:rsid w:val="00651140"/>
    <w:rsid w:val="00651465"/>
    <w:rsid w:val="00651DEC"/>
    <w:rsid w:val="00652A0C"/>
    <w:rsid w:val="00653196"/>
    <w:rsid w:val="00653279"/>
    <w:rsid w:val="0065404A"/>
    <w:rsid w:val="00654CFE"/>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514C"/>
    <w:rsid w:val="006657E8"/>
    <w:rsid w:val="00666607"/>
    <w:rsid w:val="00666869"/>
    <w:rsid w:val="006669AD"/>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4F01"/>
    <w:rsid w:val="006755C2"/>
    <w:rsid w:val="00675748"/>
    <w:rsid w:val="00675884"/>
    <w:rsid w:val="00675C27"/>
    <w:rsid w:val="00675F70"/>
    <w:rsid w:val="00675F92"/>
    <w:rsid w:val="0067691F"/>
    <w:rsid w:val="00676AB8"/>
    <w:rsid w:val="006772B6"/>
    <w:rsid w:val="00677371"/>
    <w:rsid w:val="0067751B"/>
    <w:rsid w:val="00677CE7"/>
    <w:rsid w:val="00677DF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6E1"/>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029"/>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C7F32"/>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44A"/>
    <w:rsid w:val="006D5ED9"/>
    <w:rsid w:val="006D6620"/>
    <w:rsid w:val="006D69F9"/>
    <w:rsid w:val="006D6ADC"/>
    <w:rsid w:val="006D7020"/>
    <w:rsid w:val="006D7219"/>
    <w:rsid w:val="006D7C92"/>
    <w:rsid w:val="006D7E94"/>
    <w:rsid w:val="006E0080"/>
    <w:rsid w:val="006E086A"/>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458D"/>
    <w:rsid w:val="006E54E1"/>
    <w:rsid w:val="006E54F5"/>
    <w:rsid w:val="006E5C1E"/>
    <w:rsid w:val="006E5F87"/>
    <w:rsid w:val="006E615D"/>
    <w:rsid w:val="006E662D"/>
    <w:rsid w:val="006E6697"/>
    <w:rsid w:val="006E684B"/>
    <w:rsid w:val="006E6F11"/>
    <w:rsid w:val="006E72D4"/>
    <w:rsid w:val="006E73BD"/>
    <w:rsid w:val="006E7DAB"/>
    <w:rsid w:val="006E7F17"/>
    <w:rsid w:val="006F048C"/>
    <w:rsid w:val="006F0C66"/>
    <w:rsid w:val="006F0E45"/>
    <w:rsid w:val="006F1317"/>
    <w:rsid w:val="006F158E"/>
    <w:rsid w:val="006F1D3C"/>
    <w:rsid w:val="006F1DA9"/>
    <w:rsid w:val="006F2110"/>
    <w:rsid w:val="006F26F7"/>
    <w:rsid w:val="006F2884"/>
    <w:rsid w:val="006F2E00"/>
    <w:rsid w:val="006F328B"/>
    <w:rsid w:val="006F3859"/>
    <w:rsid w:val="006F38FF"/>
    <w:rsid w:val="006F4204"/>
    <w:rsid w:val="006F46D5"/>
    <w:rsid w:val="006F494A"/>
    <w:rsid w:val="006F4E64"/>
    <w:rsid w:val="006F4F32"/>
    <w:rsid w:val="006F4F4C"/>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165B"/>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57AC"/>
    <w:rsid w:val="0070625F"/>
    <w:rsid w:val="00706532"/>
    <w:rsid w:val="00706E51"/>
    <w:rsid w:val="007070F5"/>
    <w:rsid w:val="00707568"/>
    <w:rsid w:val="00707A8D"/>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B18"/>
    <w:rsid w:val="00713DBF"/>
    <w:rsid w:val="00713F0D"/>
    <w:rsid w:val="007140E1"/>
    <w:rsid w:val="0071585A"/>
    <w:rsid w:val="00715ABC"/>
    <w:rsid w:val="00715F0D"/>
    <w:rsid w:val="00715F29"/>
    <w:rsid w:val="00716590"/>
    <w:rsid w:val="00716909"/>
    <w:rsid w:val="00716B79"/>
    <w:rsid w:val="00717DC4"/>
    <w:rsid w:val="00717E78"/>
    <w:rsid w:val="0072033D"/>
    <w:rsid w:val="0072216B"/>
    <w:rsid w:val="0072220F"/>
    <w:rsid w:val="00722878"/>
    <w:rsid w:val="00723314"/>
    <w:rsid w:val="007234C8"/>
    <w:rsid w:val="0072367F"/>
    <w:rsid w:val="0072389C"/>
    <w:rsid w:val="0072423E"/>
    <w:rsid w:val="0072428F"/>
    <w:rsid w:val="007245D5"/>
    <w:rsid w:val="007246E8"/>
    <w:rsid w:val="00724826"/>
    <w:rsid w:val="00724A11"/>
    <w:rsid w:val="00724D7B"/>
    <w:rsid w:val="007253BB"/>
    <w:rsid w:val="00725E58"/>
    <w:rsid w:val="0072682B"/>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6F"/>
    <w:rsid w:val="00733FC1"/>
    <w:rsid w:val="007341DF"/>
    <w:rsid w:val="0073466F"/>
    <w:rsid w:val="00734849"/>
    <w:rsid w:val="00734987"/>
    <w:rsid w:val="00734DA2"/>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4EB"/>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4E2A"/>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C57"/>
    <w:rsid w:val="00754FA9"/>
    <w:rsid w:val="007550E4"/>
    <w:rsid w:val="00755136"/>
    <w:rsid w:val="007555CC"/>
    <w:rsid w:val="00755668"/>
    <w:rsid w:val="0075603F"/>
    <w:rsid w:val="007560BB"/>
    <w:rsid w:val="00756214"/>
    <w:rsid w:val="00756240"/>
    <w:rsid w:val="007565B8"/>
    <w:rsid w:val="00756C7B"/>
    <w:rsid w:val="00756E3A"/>
    <w:rsid w:val="00757094"/>
    <w:rsid w:val="007605E9"/>
    <w:rsid w:val="00760DFE"/>
    <w:rsid w:val="00760EAD"/>
    <w:rsid w:val="007619AD"/>
    <w:rsid w:val="00761BA6"/>
    <w:rsid w:val="00761F36"/>
    <w:rsid w:val="00762565"/>
    <w:rsid w:val="00763055"/>
    <w:rsid w:val="00763EA4"/>
    <w:rsid w:val="0076436B"/>
    <w:rsid w:val="00764778"/>
    <w:rsid w:val="00764BF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478"/>
    <w:rsid w:val="00777823"/>
    <w:rsid w:val="0078002A"/>
    <w:rsid w:val="00780611"/>
    <w:rsid w:val="00780FE0"/>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BAC"/>
    <w:rsid w:val="00787C15"/>
    <w:rsid w:val="00787E3B"/>
    <w:rsid w:val="00790E56"/>
    <w:rsid w:val="007915FE"/>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4C4"/>
    <w:rsid w:val="00796765"/>
    <w:rsid w:val="00796DD8"/>
    <w:rsid w:val="0079794B"/>
    <w:rsid w:val="00797BD6"/>
    <w:rsid w:val="00797E04"/>
    <w:rsid w:val="007A0F25"/>
    <w:rsid w:val="007A1064"/>
    <w:rsid w:val="007A14C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E58"/>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B28"/>
    <w:rsid w:val="007A7DE6"/>
    <w:rsid w:val="007A7EF2"/>
    <w:rsid w:val="007B08E4"/>
    <w:rsid w:val="007B0B09"/>
    <w:rsid w:val="007B0BE7"/>
    <w:rsid w:val="007B11FC"/>
    <w:rsid w:val="007B1550"/>
    <w:rsid w:val="007B27C2"/>
    <w:rsid w:val="007B2D70"/>
    <w:rsid w:val="007B2F70"/>
    <w:rsid w:val="007B2FBF"/>
    <w:rsid w:val="007B3099"/>
    <w:rsid w:val="007B34A4"/>
    <w:rsid w:val="007B3C0B"/>
    <w:rsid w:val="007B3E3C"/>
    <w:rsid w:val="007B3E89"/>
    <w:rsid w:val="007B4C23"/>
    <w:rsid w:val="007B5908"/>
    <w:rsid w:val="007B692F"/>
    <w:rsid w:val="007B6B72"/>
    <w:rsid w:val="007B74A3"/>
    <w:rsid w:val="007B75FE"/>
    <w:rsid w:val="007B763B"/>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2E1"/>
    <w:rsid w:val="007C44A3"/>
    <w:rsid w:val="007C5248"/>
    <w:rsid w:val="007C5299"/>
    <w:rsid w:val="007C53D3"/>
    <w:rsid w:val="007C5652"/>
    <w:rsid w:val="007C5C32"/>
    <w:rsid w:val="007C5CF0"/>
    <w:rsid w:val="007C61DB"/>
    <w:rsid w:val="007C6201"/>
    <w:rsid w:val="007C64B4"/>
    <w:rsid w:val="007C72C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97F"/>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D7A"/>
    <w:rsid w:val="007E6E66"/>
    <w:rsid w:val="007E7153"/>
    <w:rsid w:val="007E7858"/>
    <w:rsid w:val="007E7A18"/>
    <w:rsid w:val="007E7EA5"/>
    <w:rsid w:val="007F0264"/>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0E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4FDB"/>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834"/>
    <w:rsid w:val="00821CD7"/>
    <w:rsid w:val="00821F41"/>
    <w:rsid w:val="00822185"/>
    <w:rsid w:val="00822CDE"/>
    <w:rsid w:val="00822EB2"/>
    <w:rsid w:val="008238C5"/>
    <w:rsid w:val="00824706"/>
    <w:rsid w:val="008256CA"/>
    <w:rsid w:val="008258E0"/>
    <w:rsid w:val="008263F4"/>
    <w:rsid w:val="008268BF"/>
    <w:rsid w:val="0082708C"/>
    <w:rsid w:val="00830103"/>
    <w:rsid w:val="00830236"/>
    <w:rsid w:val="008304F9"/>
    <w:rsid w:val="0083096E"/>
    <w:rsid w:val="00831007"/>
    <w:rsid w:val="0083115C"/>
    <w:rsid w:val="00831174"/>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BDD"/>
    <w:rsid w:val="00837D26"/>
    <w:rsid w:val="008401D6"/>
    <w:rsid w:val="008401D7"/>
    <w:rsid w:val="00840364"/>
    <w:rsid w:val="0084036B"/>
    <w:rsid w:val="008407FC"/>
    <w:rsid w:val="00840EC5"/>
    <w:rsid w:val="00841331"/>
    <w:rsid w:val="0084151E"/>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0DE"/>
    <w:rsid w:val="008463F6"/>
    <w:rsid w:val="00846DE8"/>
    <w:rsid w:val="00846ED5"/>
    <w:rsid w:val="0084720C"/>
    <w:rsid w:val="00847632"/>
    <w:rsid w:val="00847857"/>
    <w:rsid w:val="00847930"/>
    <w:rsid w:val="00847DEC"/>
    <w:rsid w:val="00850933"/>
    <w:rsid w:val="00850FF1"/>
    <w:rsid w:val="0085171B"/>
    <w:rsid w:val="0085172E"/>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391"/>
    <w:rsid w:val="00883486"/>
    <w:rsid w:val="008838E2"/>
    <w:rsid w:val="00883CED"/>
    <w:rsid w:val="00884085"/>
    <w:rsid w:val="00884941"/>
    <w:rsid w:val="00884A5B"/>
    <w:rsid w:val="00885536"/>
    <w:rsid w:val="00885C25"/>
    <w:rsid w:val="008860A1"/>
    <w:rsid w:val="008863CE"/>
    <w:rsid w:val="00886860"/>
    <w:rsid w:val="00886ED0"/>
    <w:rsid w:val="008870E0"/>
    <w:rsid w:val="008873D4"/>
    <w:rsid w:val="0088745F"/>
    <w:rsid w:val="00887722"/>
    <w:rsid w:val="008877A0"/>
    <w:rsid w:val="00887C45"/>
    <w:rsid w:val="00892458"/>
    <w:rsid w:val="00892461"/>
    <w:rsid w:val="00892543"/>
    <w:rsid w:val="00892751"/>
    <w:rsid w:val="008927A4"/>
    <w:rsid w:val="00892A58"/>
    <w:rsid w:val="00892CBB"/>
    <w:rsid w:val="00892F81"/>
    <w:rsid w:val="0089376D"/>
    <w:rsid w:val="00893D09"/>
    <w:rsid w:val="00893DBB"/>
    <w:rsid w:val="008941C8"/>
    <w:rsid w:val="00894536"/>
    <w:rsid w:val="00894557"/>
    <w:rsid w:val="00894877"/>
    <w:rsid w:val="00894906"/>
    <w:rsid w:val="00895049"/>
    <w:rsid w:val="008954BB"/>
    <w:rsid w:val="00895702"/>
    <w:rsid w:val="0089580A"/>
    <w:rsid w:val="00895822"/>
    <w:rsid w:val="0089582D"/>
    <w:rsid w:val="0089632D"/>
    <w:rsid w:val="008970C1"/>
    <w:rsid w:val="008977C3"/>
    <w:rsid w:val="00897B59"/>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CD"/>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1CB"/>
    <w:rsid w:val="008A7EB6"/>
    <w:rsid w:val="008B06EE"/>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57E"/>
    <w:rsid w:val="008B67DD"/>
    <w:rsid w:val="008B74CA"/>
    <w:rsid w:val="008B7BD9"/>
    <w:rsid w:val="008B7E59"/>
    <w:rsid w:val="008B7F5D"/>
    <w:rsid w:val="008C021E"/>
    <w:rsid w:val="008C05A9"/>
    <w:rsid w:val="008C0C67"/>
    <w:rsid w:val="008C1590"/>
    <w:rsid w:val="008C1AA5"/>
    <w:rsid w:val="008C1B28"/>
    <w:rsid w:val="008C1CEE"/>
    <w:rsid w:val="008C2737"/>
    <w:rsid w:val="008C28E2"/>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E5F"/>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2940"/>
    <w:rsid w:val="008E37F6"/>
    <w:rsid w:val="008E3A3C"/>
    <w:rsid w:val="008E3BCB"/>
    <w:rsid w:val="008E40BC"/>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897"/>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5B3"/>
    <w:rsid w:val="00906E43"/>
    <w:rsid w:val="00907FBB"/>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4B0A"/>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9EC"/>
    <w:rsid w:val="00923BF9"/>
    <w:rsid w:val="00923D36"/>
    <w:rsid w:val="00924145"/>
    <w:rsid w:val="00924B35"/>
    <w:rsid w:val="00924F67"/>
    <w:rsid w:val="009250E4"/>
    <w:rsid w:val="00925225"/>
    <w:rsid w:val="009255C1"/>
    <w:rsid w:val="00925E77"/>
    <w:rsid w:val="0092635A"/>
    <w:rsid w:val="0092650D"/>
    <w:rsid w:val="009266AF"/>
    <w:rsid w:val="00926F94"/>
    <w:rsid w:val="009271B9"/>
    <w:rsid w:val="009272D5"/>
    <w:rsid w:val="00927C62"/>
    <w:rsid w:val="0093032D"/>
    <w:rsid w:val="0093035B"/>
    <w:rsid w:val="0093061F"/>
    <w:rsid w:val="00930A38"/>
    <w:rsid w:val="009317C3"/>
    <w:rsid w:val="009326D7"/>
    <w:rsid w:val="0093394F"/>
    <w:rsid w:val="009339EF"/>
    <w:rsid w:val="00933A1A"/>
    <w:rsid w:val="00933A2D"/>
    <w:rsid w:val="00933C83"/>
    <w:rsid w:val="009340D2"/>
    <w:rsid w:val="009345D4"/>
    <w:rsid w:val="0093470B"/>
    <w:rsid w:val="00934745"/>
    <w:rsid w:val="00934920"/>
    <w:rsid w:val="009349A5"/>
    <w:rsid w:val="00934A4B"/>
    <w:rsid w:val="00934BE8"/>
    <w:rsid w:val="009350AF"/>
    <w:rsid w:val="009353DB"/>
    <w:rsid w:val="009354C6"/>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73D"/>
    <w:rsid w:val="0094389F"/>
    <w:rsid w:val="00944791"/>
    <w:rsid w:val="009448DE"/>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3A1"/>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60C"/>
    <w:rsid w:val="0097076F"/>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2BB"/>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D7A"/>
    <w:rsid w:val="009874F7"/>
    <w:rsid w:val="00987DF6"/>
    <w:rsid w:val="009903EF"/>
    <w:rsid w:val="0099056B"/>
    <w:rsid w:val="00990574"/>
    <w:rsid w:val="009906EC"/>
    <w:rsid w:val="00990CD5"/>
    <w:rsid w:val="00990EEB"/>
    <w:rsid w:val="00990F78"/>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44F"/>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F5E"/>
    <w:rsid w:val="009A4073"/>
    <w:rsid w:val="009A450C"/>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B7DC7"/>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9F0"/>
    <w:rsid w:val="009D0C73"/>
    <w:rsid w:val="009D118A"/>
    <w:rsid w:val="009D130E"/>
    <w:rsid w:val="009D175C"/>
    <w:rsid w:val="009D184B"/>
    <w:rsid w:val="009D2425"/>
    <w:rsid w:val="009D2961"/>
    <w:rsid w:val="009D34EF"/>
    <w:rsid w:val="009D35BD"/>
    <w:rsid w:val="009D35EC"/>
    <w:rsid w:val="009D3A23"/>
    <w:rsid w:val="009D419F"/>
    <w:rsid w:val="009D498B"/>
    <w:rsid w:val="009D4A1E"/>
    <w:rsid w:val="009D4F0C"/>
    <w:rsid w:val="009D530B"/>
    <w:rsid w:val="009D5855"/>
    <w:rsid w:val="009D58F3"/>
    <w:rsid w:val="009D5ADD"/>
    <w:rsid w:val="009D61BE"/>
    <w:rsid w:val="009D69F7"/>
    <w:rsid w:val="009D6EB2"/>
    <w:rsid w:val="009D7475"/>
    <w:rsid w:val="009E07C4"/>
    <w:rsid w:val="009E0A9E"/>
    <w:rsid w:val="009E1031"/>
    <w:rsid w:val="009E123E"/>
    <w:rsid w:val="009E12F0"/>
    <w:rsid w:val="009E1400"/>
    <w:rsid w:val="009E1BA7"/>
    <w:rsid w:val="009E26D6"/>
    <w:rsid w:val="009E32C6"/>
    <w:rsid w:val="009E3904"/>
    <w:rsid w:val="009E3C96"/>
    <w:rsid w:val="009E4114"/>
    <w:rsid w:val="009E4618"/>
    <w:rsid w:val="009E4F63"/>
    <w:rsid w:val="009E4F80"/>
    <w:rsid w:val="009E4FA1"/>
    <w:rsid w:val="009E5461"/>
    <w:rsid w:val="009E56F8"/>
    <w:rsid w:val="009E58C5"/>
    <w:rsid w:val="009E592B"/>
    <w:rsid w:val="009E6373"/>
    <w:rsid w:val="009E686B"/>
    <w:rsid w:val="009E7474"/>
    <w:rsid w:val="009E747F"/>
    <w:rsid w:val="009E7BC3"/>
    <w:rsid w:val="009E7E96"/>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1D32"/>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B49"/>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2E6F"/>
    <w:rsid w:val="00A132D9"/>
    <w:rsid w:val="00A133C5"/>
    <w:rsid w:val="00A13434"/>
    <w:rsid w:val="00A13483"/>
    <w:rsid w:val="00A14781"/>
    <w:rsid w:val="00A15412"/>
    <w:rsid w:val="00A1597C"/>
    <w:rsid w:val="00A15C99"/>
    <w:rsid w:val="00A163AA"/>
    <w:rsid w:val="00A163B8"/>
    <w:rsid w:val="00A16C22"/>
    <w:rsid w:val="00A16E3C"/>
    <w:rsid w:val="00A17B89"/>
    <w:rsid w:val="00A17C1E"/>
    <w:rsid w:val="00A20760"/>
    <w:rsid w:val="00A215E8"/>
    <w:rsid w:val="00A21716"/>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2EBB"/>
    <w:rsid w:val="00A3316F"/>
    <w:rsid w:val="00A333C2"/>
    <w:rsid w:val="00A33619"/>
    <w:rsid w:val="00A33667"/>
    <w:rsid w:val="00A33D26"/>
    <w:rsid w:val="00A3406A"/>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A1"/>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32A"/>
    <w:rsid w:val="00A5144B"/>
    <w:rsid w:val="00A5174F"/>
    <w:rsid w:val="00A519EE"/>
    <w:rsid w:val="00A5226D"/>
    <w:rsid w:val="00A525F9"/>
    <w:rsid w:val="00A5274C"/>
    <w:rsid w:val="00A52C30"/>
    <w:rsid w:val="00A53A07"/>
    <w:rsid w:val="00A543B9"/>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018"/>
    <w:rsid w:val="00A6492D"/>
    <w:rsid w:val="00A64A6E"/>
    <w:rsid w:val="00A64BF2"/>
    <w:rsid w:val="00A64FDA"/>
    <w:rsid w:val="00A65196"/>
    <w:rsid w:val="00A651D8"/>
    <w:rsid w:val="00A6524F"/>
    <w:rsid w:val="00A65545"/>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47"/>
    <w:rsid w:val="00A77A66"/>
    <w:rsid w:val="00A77C0A"/>
    <w:rsid w:val="00A77DA9"/>
    <w:rsid w:val="00A77F1F"/>
    <w:rsid w:val="00A80163"/>
    <w:rsid w:val="00A802EF"/>
    <w:rsid w:val="00A80BCC"/>
    <w:rsid w:val="00A80CEE"/>
    <w:rsid w:val="00A81A25"/>
    <w:rsid w:val="00A81AAF"/>
    <w:rsid w:val="00A81E22"/>
    <w:rsid w:val="00A81F40"/>
    <w:rsid w:val="00A822B6"/>
    <w:rsid w:val="00A82464"/>
    <w:rsid w:val="00A82465"/>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193"/>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5AD4"/>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896"/>
    <w:rsid w:val="00AA2AA6"/>
    <w:rsid w:val="00AA2E12"/>
    <w:rsid w:val="00AA3274"/>
    <w:rsid w:val="00AA3724"/>
    <w:rsid w:val="00AA3B55"/>
    <w:rsid w:val="00AA3E68"/>
    <w:rsid w:val="00AA4F2C"/>
    <w:rsid w:val="00AA604D"/>
    <w:rsid w:val="00AA62E6"/>
    <w:rsid w:val="00AA674B"/>
    <w:rsid w:val="00AA696B"/>
    <w:rsid w:val="00AA6AA5"/>
    <w:rsid w:val="00AA6D97"/>
    <w:rsid w:val="00AA74AD"/>
    <w:rsid w:val="00AA78D0"/>
    <w:rsid w:val="00AA7CE3"/>
    <w:rsid w:val="00AA7F08"/>
    <w:rsid w:val="00AB0062"/>
    <w:rsid w:val="00AB0900"/>
    <w:rsid w:val="00AB19B6"/>
    <w:rsid w:val="00AB2139"/>
    <w:rsid w:val="00AB2257"/>
    <w:rsid w:val="00AB29E5"/>
    <w:rsid w:val="00AB29F8"/>
    <w:rsid w:val="00AB2DBE"/>
    <w:rsid w:val="00AB35CA"/>
    <w:rsid w:val="00AB3EE1"/>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B5A"/>
    <w:rsid w:val="00AC1EE2"/>
    <w:rsid w:val="00AC244D"/>
    <w:rsid w:val="00AC33AE"/>
    <w:rsid w:val="00AC33B7"/>
    <w:rsid w:val="00AC36CD"/>
    <w:rsid w:val="00AC3922"/>
    <w:rsid w:val="00AC3FD5"/>
    <w:rsid w:val="00AC4048"/>
    <w:rsid w:val="00AC42D2"/>
    <w:rsid w:val="00AC5116"/>
    <w:rsid w:val="00AC53D5"/>
    <w:rsid w:val="00AC53FB"/>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022"/>
    <w:rsid w:val="00AD2256"/>
    <w:rsid w:val="00AD26A1"/>
    <w:rsid w:val="00AD2B43"/>
    <w:rsid w:val="00AD2E43"/>
    <w:rsid w:val="00AD2FE8"/>
    <w:rsid w:val="00AD3782"/>
    <w:rsid w:val="00AD3819"/>
    <w:rsid w:val="00AD39D7"/>
    <w:rsid w:val="00AD3D3F"/>
    <w:rsid w:val="00AD4181"/>
    <w:rsid w:val="00AD4188"/>
    <w:rsid w:val="00AD5364"/>
    <w:rsid w:val="00AD57DD"/>
    <w:rsid w:val="00AD5D8D"/>
    <w:rsid w:val="00AD5E5A"/>
    <w:rsid w:val="00AD6249"/>
    <w:rsid w:val="00AD66AB"/>
    <w:rsid w:val="00AD6743"/>
    <w:rsid w:val="00AD6795"/>
    <w:rsid w:val="00AD6A84"/>
    <w:rsid w:val="00AD70C0"/>
    <w:rsid w:val="00AD7C23"/>
    <w:rsid w:val="00AD7D9C"/>
    <w:rsid w:val="00AE0613"/>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483"/>
    <w:rsid w:val="00AE35AB"/>
    <w:rsid w:val="00AE35D2"/>
    <w:rsid w:val="00AE381B"/>
    <w:rsid w:val="00AE4218"/>
    <w:rsid w:val="00AE45ED"/>
    <w:rsid w:val="00AE485F"/>
    <w:rsid w:val="00AE49ED"/>
    <w:rsid w:val="00AE51E8"/>
    <w:rsid w:val="00AE5214"/>
    <w:rsid w:val="00AE526E"/>
    <w:rsid w:val="00AE530C"/>
    <w:rsid w:val="00AE54DC"/>
    <w:rsid w:val="00AE56FC"/>
    <w:rsid w:val="00AE62FE"/>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5FC"/>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5293"/>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0DE3"/>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1E7"/>
    <w:rsid w:val="00B37330"/>
    <w:rsid w:val="00B37649"/>
    <w:rsid w:val="00B37662"/>
    <w:rsid w:val="00B377DD"/>
    <w:rsid w:val="00B37F54"/>
    <w:rsid w:val="00B4094F"/>
    <w:rsid w:val="00B41037"/>
    <w:rsid w:val="00B41B72"/>
    <w:rsid w:val="00B41EAE"/>
    <w:rsid w:val="00B4257B"/>
    <w:rsid w:val="00B42716"/>
    <w:rsid w:val="00B42A8C"/>
    <w:rsid w:val="00B43516"/>
    <w:rsid w:val="00B43E7C"/>
    <w:rsid w:val="00B43E8E"/>
    <w:rsid w:val="00B43EC2"/>
    <w:rsid w:val="00B444DF"/>
    <w:rsid w:val="00B4459E"/>
    <w:rsid w:val="00B4493C"/>
    <w:rsid w:val="00B44B05"/>
    <w:rsid w:val="00B44B0B"/>
    <w:rsid w:val="00B4504E"/>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84E"/>
    <w:rsid w:val="00B51B7A"/>
    <w:rsid w:val="00B5235A"/>
    <w:rsid w:val="00B52563"/>
    <w:rsid w:val="00B525F3"/>
    <w:rsid w:val="00B52E22"/>
    <w:rsid w:val="00B52FFE"/>
    <w:rsid w:val="00B53AC1"/>
    <w:rsid w:val="00B54490"/>
    <w:rsid w:val="00B55195"/>
    <w:rsid w:val="00B55383"/>
    <w:rsid w:val="00B553BD"/>
    <w:rsid w:val="00B5541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0046"/>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1B5"/>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47DF"/>
    <w:rsid w:val="00B85D98"/>
    <w:rsid w:val="00B85F31"/>
    <w:rsid w:val="00B86589"/>
    <w:rsid w:val="00B86CC0"/>
    <w:rsid w:val="00B86F27"/>
    <w:rsid w:val="00B87379"/>
    <w:rsid w:val="00B90000"/>
    <w:rsid w:val="00B90D3A"/>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665"/>
    <w:rsid w:val="00B94917"/>
    <w:rsid w:val="00B958D8"/>
    <w:rsid w:val="00B95E0B"/>
    <w:rsid w:val="00B96112"/>
    <w:rsid w:val="00B973B5"/>
    <w:rsid w:val="00B97422"/>
    <w:rsid w:val="00B97592"/>
    <w:rsid w:val="00BA105E"/>
    <w:rsid w:val="00BA130C"/>
    <w:rsid w:val="00BA23E7"/>
    <w:rsid w:val="00BA27FC"/>
    <w:rsid w:val="00BA2B0D"/>
    <w:rsid w:val="00BA2BC5"/>
    <w:rsid w:val="00BA2F0C"/>
    <w:rsid w:val="00BA2F69"/>
    <w:rsid w:val="00BA317D"/>
    <w:rsid w:val="00BA3A06"/>
    <w:rsid w:val="00BA3D64"/>
    <w:rsid w:val="00BA3D90"/>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956"/>
    <w:rsid w:val="00BB6ADA"/>
    <w:rsid w:val="00BB70E7"/>
    <w:rsid w:val="00BB72C3"/>
    <w:rsid w:val="00BB762C"/>
    <w:rsid w:val="00BB7BC3"/>
    <w:rsid w:val="00BB7CEF"/>
    <w:rsid w:val="00BB7F9D"/>
    <w:rsid w:val="00BC059F"/>
    <w:rsid w:val="00BC079F"/>
    <w:rsid w:val="00BC09A7"/>
    <w:rsid w:val="00BC1714"/>
    <w:rsid w:val="00BC1C4B"/>
    <w:rsid w:val="00BC1D81"/>
    <w:rsid w:val="00BC2189"/>
    <w:rsid w:val="00BC218D"/>
    <w:rsid w:val="00BC21EB"/>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6FF8"/>
    <w:rsid w:val="00BD7070"/>
    <w:rsid w:val="00BD7480"/>
    <w:rsid w:val="00BD7495"/>
    <w:rsid w:val="00BD771E"/>
    <w:rsid w:val="00BD7A85"/>
    <w:rsid w:val="00BE04C7"/>
    <w:rsid w:val="00BE0779"/>
    <w:rsid w:val="00BE0820"/>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798"/>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59D"/>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924"/>
    <w:rsid w:val="00C04B37"/>
    <w:rsid w:val="00C04FCD"/>
    <w:rsid w:val="00C052D0"/>
    <w:rsid w:val="00C05347"/>
    <w:rsid w:val="00C058F0"/>
    <w:rsid w:val="00C05B24"/>
    <w:rsid w:val="00C05F0D"/>
    <w:rsid w:val="00C06141"/>
    <w:rsid w:val="00C06694"/>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2869"/>
    <w:rsid w:val="00C1321A"/>
    <w:rsid w:val="00C13B9C"/>
    <w:rsid w:val="00C17643"/>
    <w:rsid w:val="00C179A3"/>
    <w:rsid w:val="00C17B7F"/>
    <w:rsid w:val="00C17D3A"/>
    <w:rsid w:val="00C17E97"/>
    <w:rsid w:val="00C204A9"/>
    <w:rsid w:val="00C2080B"/>
    <w:rsid w:val="00C20901"/>
    <w:rsid w:val="00C209C0"/>
    <w:rsid w:val="00C2151F"/>
    <w:rsid w:val="00C2324E"/>
    <w:rsid w:val="00C23C26"/>
    <w:rsid w:val="00C23D9A"/>
    <w:rsid w:val="00C23F5B"/>
    <w:rsid w:val="00C246A0"/>
    <w:rsid w:val="00C24C80"/>
    <w:rsid w:val="00C25730"/>
    <w:rsid w:val="00C25825"/>
    <w:rsid w:val="00C25853"/>
    <w:rsid w:val="00C2593D"/>
    <w:rsid w:val="00C25FD1"/>
    <w:rsid w:val="00C2694E"/>
    <w:rsid w:val="00C2696C"/>
    <w:rsid w:val="00C26B17"/>
    <w:rsid w:val="00C273B8"/>
    <w:rsid w:val="00C304F3"/>
    <w:rsid w:val="00C305F1"/>
    <w:rsid w:val="00C3067D"/>
    <w:rsid w:val="00C306D6"/>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042"/>
    <w:rsid w:val="00C36E28"/>
    <w:rsid w:val="00C377FE"/>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B87"/>
    <w:rsid w:val="00C65CC0"/>
    <w:rsid w:val="00C663DA"/>
    <w:rsid w:val="00C66CD2"/>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3B1"/>
    <w:rsid w:val="00C80719"/>
    <w:rsid w:val="00C80B13"/>
    <w:rsid w:val="00C8114F"/>
    <w:rsid w:val="00C811AC"/>
    <w:rsid w:val="00C812CB"/>
    <w:rsid w:val="00C813EF"/>
    <w:rsid w:val="00C81CA1"/>
    <w:rsid w:val="00C822A8"/>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0F2"/>
    <w:rsid w:val="00CB0102"/>
    <w:rsid w:val="00CB0156"/>
    <w:rsid w:val="00CB0608"/>
    <w:rsid w:val="00CB0CC0"/>
    <w:rsid w:val="00CB0E08"/>
    <w:rsid w:val="00CB116F"/>
    <w:rsid w:val="00CB1902"/>
    <w:rsid w:val="00CB1F9F"/>
    <w:rsid w:val="00CB2685"/>
    <w:rsid w:val="00CB2AAC"/>
    <w:rsid w:val="00CB2CD3"/>
    <w:rsid w:val="00CB30B8"/>
    <w:rsid w:val="00CB328B"/>
    <w:rsid w:val="00CB33B8"/>
    <w:rsid w:val="00CB35C4"/>
    <w:rsid w:val="00CB3925"/>
    <w:rsid w:val="00CB40A5"/>
    <w:rsid w:val="00CB5115"/>
    <w:rsid w:val="00CB5137"/>
    <w:rsid w:val="00CB56D1"/>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DA5"/>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904"/>
    <w:rsid w:val="00CE5B2B"/>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453"/>
    <w:rsid w:val="00D017E5"/>
    <w:rsid w:val="00D027FD"/>
    <w:rsid w:val="00D0289C"/>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50F"/>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03C"/>
    <w:rsid w:val="00D60E93"/>
    <w:rsid w:val="00D610C6"/>
    <w:rsid w:val="00D61241"/>
    <w:rsid w:val="00D61428"/>
    <w:rsid w:val="00D61673"/>
    <w:rsid w:val="00D617EB"/>
    <w:rsid w:val="00D61DCC"/>
    <w:rsid w:val="00D628A0"/>
    <w:rsid w:val="00D62A53"/>
    <w:rsid w:val="00D632EE"/>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917"/>
    <w:rsid w:val="00D7128D"/>
    <w:rsid w:val="00D713FF"/>
    <w:rsid w:val="00D71DDC"/>
    <w:rsid w:val="00D72A09"/>
    <w:rsid w:val="00D72A3E"/>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8D6"/>
    <w:rsid w:val="00D9496A"/>
    <w:rsid w:val="00D94BAE"/>
    <w:rsid w:val="00D9519B"/>
    <w:rsid w:val="00D9542D"/>
    <w:rsid w:val="00D95A78"/>
    <w:rsid w:val="00D95E80"/>
    <w:rsid w:val="00D95F3A"/>
    <w:rsid w:val="00D96176"/>
    <w:rsid w:val="00D96187"/>
    <w:rsid w:val="00D96408"/>
    <w:rsid w:val="00D964DF"/>
    <w:rsid w:val="00D965E9"/>
    <w:rsid w:val="00D967AC"/>
    <w:rsid w:val="00D96828"/>
    <w:rsid w:val="00D97644"/>
    <w:rsid w:val="00D97DEE"/>
    <w:rsid w:val="00DA01F3"/>
    <w:rsid w:val="00DA09AB"/>
    <w:rsid w:val="00DA127A"/>
    <w:rsid w:val="00DA1614"/>
    <w:rsid w:val="00DA191A"/>
    <w:rsid w:val="00DA1977"/>
    <w:rsid w:val="00DA1C91"/>
    <w:rsid w:val="00DA2461"/>
    <w:rsid w:val="00DA2612"/>
    <w:rsid w:val="00DA29C8"/>
    <w:rsid w:val="00DA2ACA"/>
    <w:rsid w:val="00DA2B7F"/>
    <w:rsid w:val="00DA3646"/>
    <w:rsid w:val="00DA3843"/>
    <w:rsid w:val="00DA3CB6"/>
    <w:rsid w:val="00DA40F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A7EE7"/>
    <w:rsid w:val="00DB027B"/>
    <w:rsid w:val="00DB03CE"/>
    <w:rsid w:val="00DB05B8"/>
    <w:rsid w:val="00DB0F09"/>
    <w:rsid w:val="00DB0FBB"/>
    <w:rsid w:val="00DB1120"/>
    <w:rsid w:val="00DB1352"/>
    <w:rsid w:val="00DB1617"/>
    <w:rsid w:val="00DB228B"/>
    <w:rsid w:val="00DB235B"/>
    <w:rsid w:val="00DB242E"/>
    <w:rsid w:val="00DB2EB0"/>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679"/>
    <w:rsid w:val="00DC2762"/>
    <w:rsid w:val="00DC2A73"/>
    <w:rsid w:val="00DC2A8D"/>
    <w:rsid w:val="00DC2AF4"/>
    <w:rsid w:val="00DC3A59"/>
    <w:rsid w:val="00DC3B67"/>
    <w:rsid w:val="00DC3BFF"/>
    <w:rsid w:val="00DC3E10"/>
    <w:rsid w:val="00DC4256"/>
    <w:rsid w:val="00DC5708"/>
    <w:rsid w:val="00DC57CD"/>
    <w:rsid w:val="00DC5C17"/>
    <w:rsid w:val="00DC714E"/>
    <w:rsid w:val="00DC718A"/>
    <w:rsid w:val="00DC74E3"/>
    <w:rsid w:val="00DC7ABD"/>
    <w:rsid w:val="00DC7BE0"/>
    <w:rsid w:val="00DD030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5965"/>
    <w:rsid w:val="00DD639C"/>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D49"/>
    <w:rsid w:val="00DE6FAD"/>
    <w:rsid w:val="00DE745F"/>
    <w:rsid w:val="00DE79AB"/>
    <w:rsid w:val="00DE7A50"/>
    <w:rsid w:val="00DE7AEA"/>
    <w:rsid w:val="00DF0090"/>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C79"/>
    <w:rsid w:val="00DF6DBC"/>
    <w:rsid w:val="00DF718E"/>
    <w:rsid w:val="00DF7684"/>
    <w:rsid w:val="00DF7A78"/>
    <w:rsid w:val="00DF7DF4"/>
    <w:rsid w:val="00DF7F08"/>
    <w:rsid w:val="00E00193"/>
    <w:rsid w:val="00E012A6"/>
    <w:rsid w:val="00E0157D"/>
    <w:rsid w:val="00E0195D"/>
    <w:rsid w:val="00E01D6D"/>
    <w:rsid w:val="00E021FF"/>
    <w:rsid w:val="00E028B4"/>
    <w:rsid w:val="00E02B3D"/>
    <w:rsid w:val="00E02C24"/>
    <w:rsid w:val="00E0364D"/>
    <w:rsid w:val="00E0464B"/>
    <w:rsid w:val="00E0482E"/>
    <w:rsid w:val="00E04DB1"/>
    <w:rsid w:val="00E050B5"/>
    <w:rsid w:val="00E0608B"/>
    <w:rsid w:val="00E066C5"/>
    <w:rsid w:val="00E06805"/>
    <w:rsid w:val="00E06CD0"/>
    <w:rsid w:val="00E07B17"/>
    <w:rsid w:val="00E07C0A"/>
    <w:rsid w:val="00E07F41"/>
    <w:rsid w:val="00E10D65"/>
    <w:rsid w:val="00E11A21"/>
    <w:rsid w:val="00E12243"/>
    <w:rsid w:val="00E1246D"/>
    <w:rsid w:val="00E128A8"/>
    <w:rsid w:val="00E13657"/>
    <w:rsid w:val="00E13751"/>
    <w:rsid w:val="00E13B37"/>
    <w:rsid w:val="00E147B3"/>
    <w:rsid w:val="00E14BE8"/>
    <w:rsid w:val="00E15DAB"/>
    <w:rsid w:val="00E165AB"/>
    <w:rsid w:val="00E1719D"/>
    <w:rsid w:val="00E17333"/>
    <w:rsid w:val="00E176A4"/>
    <w:rsid w:val="00E17A5D"/>
    <w:rsid w:val="00E17EAD"/>
    <w:rsid w:val="00E17F3C"/>
    <w:rsid w:val="00E20505"/>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752"/>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0F"/>
    <w:rsid w:val="00E42B33"/>
    <w:rsid w:val="00E42C21"/>
    <w:rsid w:val="00E42D38"/>
    <w:rsid w:val="00E435C6"/>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D3D"/>
    <w:rsid w:val="00E51E73"/>
    <w:rsid w:val="00E51FFD"/>
    <w:rsid w:val="00E5200D"/>
    <w:rsid w:val="00E527AA"/>
    <w:rsid w:val="00E52906"/>
    <w:rsid w:val="00E52DAC"/>
    <w:rsid w:val="00E532A6"/>
    <w:rsid w:val="00E53994"/>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1E7"/>
    <w:rsid w:val="00E61606"/>
    <w:rsid w:val="00E61A89"/>
    <w:rsid w:val="00E61EDA"/>
    <w:rsid w:val="00E624C4"/>
    <w:rsid w:val="00E62619"/>
    <w:rsid w:val="00E62BD1"/>
    <w:rsid w:val="00E62DA6"/>
    <w:rsid w:val="00E63065"/>
    <w:rsid w:val="00E6317D"/>
    <w:rsid w:val="00E633B4"/>
    <w:rsid w:val="00E634BA"/>
    <w:rsid w:val="00E63B3F"/>
    <w:rsid w:val="00E63FB1"/>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026E"/>
    <w:rsid w:val="00E7135A"/>
    <w:rsid w:val="00E72157"/>
    <w:rsid w:val="00E72314"/>
    <w:rsid w:val="00E72324"/>
    <w:rsid w:val="00E72D18"/>
    <w:rsid w:val="00E73464"/>
    <w:rsid w:val="00E74147"/>
    <w:rsid w:val="00E742A0"/>
    <w:rsid w:val="00E743E8"/>
    <w:rsid w:val="00E74436"/>
    <w:rsid w:val="00E74DAD"/>
    <w:rsid w:val="00E75441"/>
    <w:rsid w:val="00E756DC"/>
    <w:rsid w:val="00E75788"/>
    <w:rsid w:val="00E75931"/>
    <w:rsid w:val="00E77524"/>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37E"/>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13CF"/>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5C8"/>
    <w:rsid w:val="00EA5748"/>
    <w:rsid w:val="00EA5C1C"/>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2B2A"/>
    <w:rsid w:val="00EB3148"/>
    <w:rsid w:val="00EB325B"/>
    <w:rsid w:val="00EB3663"/>
    <w:rsid w:val="00EB36BE"/>
    <w:rsid w:val="00EB512D"/>
    <w:rsid w:val="00EB543F"/>
    <w:rsid w:val="00EB54D9"/>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4ADC"/>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4852"/>
    <w:rsid w:val="00ED5CC0"/>
    <w:rsid w:val="00ED5D50"/>
    <w:rsid w:val="00ED667A"/>
    <w:rsid w:val="00ED6778"/>
    <w:rsid w:val="00ED6F88"/>
    <w:rsid w:val="00ED707F"/>
    <w:rsid w:val="00ED7AC1"/>
    <w:rsid w:val="00EE0719"/>
    <w:rsid w:val="00EE08C0"/>
    <w:rsid w:val="00EE1136"/>
    <w:rsid w:val="00EE1697"/>
    <w:rsid w:val="00EE1770"/>
    <w:rsid w:val="00EE18C7"/>
    <w:rsid w:val="00EE2248"/>
    <w:rsid w:val="00EE30F5"/>
    <w:rsid w:val="00EE31AF"/>
    <w:rsid w:val="00EE3252"/>
    <w:rsid w:val="00EE3357"/>
    <w:rsid w:val="00EE343D"/>
    <w:rsid w:val="00EE3A90"/>
    <w:rsid w:val="00EE40F7"/>
    <w:rsid w:val="00EE41FF"/>
    <w:rsid w:val="00EE47AC"/>
    <w:rsid w:val="00EE49F2"/>
    <w:rsid w:val="00EE4D65"/>
    <w:rsid w:val="00EE53D7"/>
    <w:rsid w:val="00EE57BF"/>
    <w:rsid w:val="00EE6D8B"/>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202"/>
    <w:rsid w:val="00EF63E9"/>
    <w:rsid w:val="00EF6F55"/>
    <w:rsid w:val="00EF706A"/>
    <w:rsid w:val="00EF7378"/>
    <w:rsid w:val="00EF76F3"/>
    <w:rsid w:val="00EF7A64"/>
    <w:rsid w:val="00F008C9"/>
    <w:rsid w:val="00F009D5"/>
    <w:rsid w:val="00F00C13"/>
    <w:rsid w:val="00F00E5F"/>
    <w:rsid w:val="00F0143D"/>
    <w:rsid w:val="00F01CA8"/>
    <w:rsid w:val="00F025D0"/>
    <w:rsid w:val="00F027FD"/>
    <w:rsid w:val="00F02A48"/>
    <w:rsid w:val="00F02BD3"/>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89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94C"/>
    <w:rsid w:val="00F24F1A"/>
    <w:rsid w:val="00F254CC"/>
    <w:rsid w:val="00F25691"/>
    <w:rsid w:val="00F25739"/>
    <w:rsid w:val="00F25790"/>
    <w:rsid w:val="00F25A3D"/>
    <w:rsid w:val="00F25F40"/>
    <w:rsid w:val="00F26092"/>
    <w:rsid w:val="00F26B4E"/>
    <w:rsid w:val="00F27599"/>
    <w:rsid w:val="00F27754"/>
    <w:rsid w:val="00F3029F"/>
    <w:rsid w:val="00F30385"/>
    <w:rsid w:val="00F311D3"/>
    <w:rsid w:val="00F31B19"/>
    <w:rsid w:val="00F32D9E"/>
    <w:rsid w:val="00F33233"/>
    <w:rsid w:val="00F33320"/>
    <w:rsid w:val="00F333B1"/>
    <w:rsid w:val="00F33625"/>
    <w:rsid w:val="00F34156"/>
    <w:rsid w:val="00F34A6C"/>
    <w:rsid w:val="00F34B44"/>
    <w:rsid w:val="00F35702"/>
    <w:rsid w:val="00F35FC3"/>
    <w:rsid w:val="00F360C1"/>
    <w:rsid w:val="00F361E3"/>
    <w:rsid w:val="00F363C3"/>
    <w:rsid w:val="00F363F3"/>
    <w:rsid w:val="00F36769"/>
    <w:rsid w:val="00F36CB5"/>
    <w:rsid w:val="00F36EA7"/>
    <w:rsid w:val="00F3702E"/>
    <w:rsid w:val="00F37206"/>
    <w:rsid w:val="00F37352"/>
    <w:rsid w:val="00F37375"/>
    <w:rsid w:val="00F37495"/>
    <w:rsid w:val="00F37C78"/>
    <w:rsid w:val="00F37F3C"/>
    <w:rsid w:val="00F4026A"/>
    <w:rsid w:val="00F40923"/>
    <w:rsid w:val="00F40BCB"/>
    <w:rsid w:val="00F40D32"/>
    <w:rsid w:val="00F40DE8"/>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4E26"/>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E8B"/>
    <w:rsid w:val="00F56EFC"/>
    <w:rsid w:val="00F57A3D"/>
    <w:rsid w:val="00F60279"/>
    <w:rsid w:val="00F60381"/>
    <w:rsid w:val="00F6132D"/>
    <w:rsid w:val="00F61522"/>
    <w:rsid w:val="00F61E78"/>
    <w:rsid w:val="00F61EC6"/>
    <w:rsid w:val="00F62579"/>
    <w:rsid w:val="00F62EA1"/>
    <w:rsid w:val="00F634F5"/>
    <w:rsid w:val="00F65530"/>
    <w:rsid w:val="00F65BCC"/>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4CF"/>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C2E"/>
    <w:rsid w:val="00F81F85"/>
    <w:rsid w:val="00F82180"/>
    <w:rsid w:val="00F822AE"/>
    <w:rsid w:val="00F8292B"/>
    <w:rsid w:val="00F8299C"/>
    <w:rsid w:val="00F82A05"/>
    <w:rsid w:val="00F82B94"/>
    <w:rsid w:val="00F830EC"/>
    <w:rsid w:val="00F837C8"/>
    <w:rsid w:val="00F83AE6"/>
    <w:rsid w:val="00F83F8E"/>
    <w:rsid w:val="00F840FE"/>
    <w:rsid w:val="00F843A4"/>
    <w:rsid w:val="00F8466F"/>
    <w:rsid w:val="00F849A7"/>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7AD"/>
    <w:rsid w:val="00FB0E0B"/>
    <w:rsid w:val="00FB10AB"/>
    <w:rsid w:val="00FB13A7"/>
    <w:rsid w:val="00FB1435"/>
    <w:rsid w:val="00FB1EF7"/>
    <w:rsid w:val="00FB2358"/>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6D04"/>
    <w:rsid w:val="00FC7009"/>
    <w:rsid w:val="00FC731C"/>
    <w:rsid w:val="00FC7650"/>
    <w:rsid w:val="00FC776A"/>
    <w:rsid w:val="00FC7AEA"/>
    <w:rsid w:val="00FC7B87"/>
    <w:rsid w:val="00FD0B34"/>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15FA"/>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1ED5"/>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CF889"/>
  <w15:chartTrackingRefBased/>
  <w15:docId w15:val="{6F28CE37-3CD4-436E-A387-2D63236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qFormat="1"/>
    <w:lsdException w:name="page number"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DA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3GPP Caption Table,cap1,cap2,cap11,Légende-figure,Légende-figure Char,Beschrifubg,Beschriftung Char,label,cap11 Char Char Char,C"/>
    <w:basedOn w:val="a1"/>
    <w:next w:val="a1"/>
    <w:link w:val="af"/>
    <w:uiPriority w:val="35"/>
    <w:qFormat/>
    <w:pPr>
      <w:spacing w:before="120" w:after="120"/>
    </w:pPr>
    <w:rPr>
      <w:rFonts w:eastAsia="Times New Roman"/>
      <w:b/>
      <w:lang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eastAsia="Times New Roman" w:hAnsi="Tahoma"/>
      <w:lang w:eastAsia="en-US"/>
    </w:rPr>
  </w:style>
  <w:style w:type="paragraph" w:styleId="af4">
    <w:name w:val="Plain Text"/>
    <w:basedOn w:val="a1"/>
    <w:link w:val="af5"/>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qFormat/>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eastAsia="Times New Roman" w:hAnsi="Tahoma"/>
      <w:sz w:val="16"/>
      <w:szCs w:val="16"/>
      <w:lang w:eastAsia="en-US"/>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rPr>
      <w:rFonts w:eastAsia="Times New Roman"/>
      <w:lang w:eastAsia="en-US"/>
    </w:r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3GPP Caption Table 字符,cap1 字符,cap2 字符,cap11 字符,Légende-figure 字符,Légende-figure Char 字符,label 字符"/>
    <w:link w:val="ae"/>
    <w:uiPriority w:val="35"/>
    <w:qFormat/>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lang w:eastAsia="en-US"/>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목록 단락,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customStyle="1" w:styleId="B1Char1">
    <w:name w:val="B1 Char1"/>
    <w:qFormat/>
    <w:rsid w:val="002B74E9"/>
    <w:rPr>
      <w:rFonts w:eastAsia="Times New Roman"/>
    </w:rPr>
  </w:style>
  <w:style w:type="character" w:customStyle="1" w:styleId="EditorsNoteChar">
    <w:name w:val="Editor's Note Char"/>
    <w:link w:val="EditorsNote"/>
    <w:qFormat/>
    <w:rsid w:val="002B74E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40731">
      <w:bodyDiv w:val="1"/>
      <w:marLeft w:val="0"/>
      <w:marRight w:val="0"/>
      <w:marTop w:val="0"/>
      <w:marBottom w:val="0"/>
      <w:divBdr>
        <w:top w:val="none" w:sz="0" w:space="0" w:color="auto"/>
        <w:left w:val="none" w:sz="0" w:space="0" w:color="auto"/>
        <w:bottom w:val="none" w:sz="0" w:space="0" w:color="auto"/>
        <w:right w:val="none" w:sz="0" w:space="0" w:color="auto"/>
      </w:divBdr>
      <w:divsChild>
        <w:div w:id="940068471">
          <w:marLeft w:val="1166"/>
          <w:marRight w:val="0"/>
          <w:marTop w:val="72"/>
          <w:marBottom w:val="0"/>
          <w:divBdr>
            <w:top w:val="none" w:sz="0" w:space="0" w:color="auto"/>
            <w:left w:val="none" w:sz="0" w:space="0" w:color="auto"/>
            <w:bottom w:val="none" w:sz="0" w:space="0" w:color="auto"/>
            <w:right w:val="none" w:sz="0" w:space="0" w:color="auto"/>
          </w:divBdr>
        </w:div>
        <w:div w:id="1983999283">
          <w:marLeft w:val="1800"/>
          <w:marRight w:val="0"/>
          <w:marTop w:val="62"/>
          <w:marBottom w:val="0"/>
          <w:divBdr>
            <w:top w:val="none" w:sz="0" w:space="0" w:color="auto"/>
            <w:left w:val="none" w:sz="0" w:space="0" w:color="auto"/>
            <w:bottom w:val="none" w:sz="0" w:space="0" w:color="auto"/>
            <w:right w:val="none" w:sz="0" w:space="0" w:color="auto"/>
          </w:divBdr>
        </w:div>
        <w:div w:id="1939101600">
          <w:marLeft w:val="1800"/>
          <w:marRight w:val="0"/>
          <w:marTop w:val="62"/>
          <w:marBottom w:val="0"/>
          <w:divBdr>
            <w:top w:val="none" w:sz="0" w:space="0" w:color="auto"/>
            <w:left w:val="none" w:sz="0" w:space="0" w:color="auto"/>
            <w:bottom w:val="none" w:sz="0" w:space="0" w:color="auto"/>
            <w:right w:val="none" w:sz="0" w:space="0" w:color="auto"/>
          </w:divBdr>
        </w:div>
        <w:div w:id="1233195945">
          <w:marLeft w:val="2520"/>
          <w:marRight w:val="0"/>
          <w:marTop w:val="58"/>
          <w:marBottom w:val="0"/>
          <w:divBdr>
            <w:top w:val="none" w:sz="0" w:space="0" w:color="auto"/>
            <w:left w:val="none" w:sz="0" w:space="0" w:color="auto"/>
            <w:bottom w:val="none" w:sz="0" w:space="0" w:color="auto"/>
            <w:right w:val="none" w:sz="0" w:space="0" w:color="auto"/>
          </w:divBdr>
        </w:div>
        <w:div w:id="52513448">
          <w:marLeft w:val="1166"/>
          <w:marRight w:val="0"/>
          <w:marTop w:val="72"/>
          <w:marBottom w:val="0"/>
          <w:divBdr>
            <w:top w:val="none" w:sz="0" w:space="0" w:color="auto"/>
            <w:left w:val="none" w:sz="0" w:space="0" w:color="auto"/>
            <w:bottom w:val="none" w:sz="0" w:space="0" w:color="auto"/>
            <w:right w:val="none" w:sz="0" w:space="0" w:color="auto"/>
          </w:divBdr>
        </w:div>
        <w:div w:id="1544101152">
          <w:marLeft w:val="1800"/>
          <w:marRight w:val="0"/>
          <w:marTop w:val="62"/>
          <w:marBottom w:val="0"/>
          <w:divBdr>
            <w:top w:val="none" w:sz="0" w:space="0" w:color="auto"/>
            <w:left w:val="none" w:sz="0" w:space="0" w:color="auto"/>
            <w:bottom w:val="none" w:sz="0" w:space="0" w:color="auto"/>
            <w:right w:val="none" w:sz="0" w:space="0" w:color="auto"/>
          </w:divBdr>
        </w:div>
        <w:div w:id="1638222892">
          <w:marLeft w:val="1800"/>
          <w:marRight w:val="0"/>
          <w:marTop w:val="62"/>
          <w:marBottom w:val="0"/>
          <w:divBdr>
            <w:top w:val="none" w:sz="0" w:space="0" w:color="auto"/>
            <w:left w:val="none" w:sz="0" w:space="0" w:color="auto"/>
            <w:bottom w:val="none" w:sz="0" w:space="0" w:color="auto"/>
            <w:right w:val="none" w:sz="0" w:space="0" w:color="auto"/>
          </w:divBdr>
        </w:div>
        <w:div w:id="829372806">
          <w:marLeft w:val="1800"/>
          <w:marRight w:val="0"/>
          <w:marTop w:val="62"/>
          <w:marBottom w:val="0"/>
          <w:divBdr>
            <w:top w:val="none" w:sz="0" w:space="0" w:color="auto"/>
            <w:left w:val="none" w:sz="0" w:space="0" w:color="auto"/>
            <w:bottom w:val="none" w:sz="0" w:space="0" w:color="auto"/>
            <w:right w:val="none" w:sz="0" w:space="0" w:color="auto"/>
          </w:divBdr>
        </w:div>
        <w:div w:id="385226052">
          <w:marLeft w:val="1800"/>
          <w:marRight w:val="0"/>
          <w:marTop w:val="62"/>
          <w:marBottom w:val="0"/>
          <w:divBdr>
            <w:top w:val="none" w:sz="0" w:space="0" w:color="auto"/>
            <w:left w:val="none" w:sz="0" w:space="0" w:color="auto"/>
            <w:bottom w:val="none" w:sz="0" w:space="0" w:color="auto"/>
            <w:right w:val="none" w:sz="0" w:space="0" w:color="auto"/>
          </w:divBdr>
        </w:div>
        <w:div w:id="1893497309">
          <w:marLeft w:val="1166"/>
          <w:marRight w:val="0"/>
          <w:marTop w:val="72"/>
          <w:marBottom w:val="0"/>
          <w:divBdr>
            <w:top w:val="none" w:sz="0" w:space="0" w:color="auto"/>
            <w:left w:val="none" w:sz="0" w:space="0" w:color="auto"/>
            <w:bottom w:val="none" w:sz="0" w:space="0" w:color="auto"/>
            <w:right w:val="none" w:sz="0" w:space="0" w:color="auto"/>
          </w:divBdr>
        </w:div>
        <w:div w:id="103161853">
          <w:marLeft w:val="1800"/>
          <w:marRight w:val="0"/>
          <w:marTop w:val="62"/>
          <w:marBottom w:val="0"/>
          <w:divBdr>
            <w:top w:val="none" w:sz="0" w:space="0" w:color="auto"/>
            <w:left w:val="none" w:sz="0" w:space="0" w:color="auto"/>
            <w:bottom w:val="none" w:sz="0" w:space="0" w:color="auto"/>
            <w:right w:val="none" w:sz="0" w:space="0" w:color="auto"/>
          </w:divBdr>
        </w:div>
        <w:div w:id="818033123">
          <w:marLeft w:val="1800"/>
          <w:marRight w:val="0"/>
          <w:marTop w:val="62"/>
          <w:marBottom w:val="0"/>
          <w:divBdr>
            <w:top w:val="none" w:sz="0" w:space="0" w:color="auto"/>
            <w:left w:val="none" w:sz="0" w:space="0" w:color="auto"/>
            <w:bottom w:val="none" w:sz="0" w:space="0" w:color="auto"/>
            <w:right w:val="none" w:sz="0" w:space="0" w:color="auto"/>
          </w:divBdr>
        </w:div>
        <w:div w:id="629046933">
          <w:marLeft w:val="1800"/>
          <w:marRight w:val="0"/>
          <w:marTop w:val="62"/>
          <w:marBottom w:val="0"/>
          <w:divBdr>
            <w:top w:val="none" w:sz="0" w:space="0" w:color="auto"/>
            <w:left w:val="none" w:sz="0" w:space="0" w:color="auto"/>
            <w:bottom w:val="none" w:sz="0" w:space="0" w:color="auto"/>
            <w:right w:val="none" w:sz="0" w:space="0" w:color="auto"/>
          </w:divBdr>
        </w:div>
        <w:div w:id="1093277458">
          <w:marLeft w:val="1800"/>
          <w:marRight w:val="0"/>
          <w:marTop w:val="6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1636353">
      <w:bodyDiv w:val="1"/>
      <w:marLeft w:val="0"/>
      <w:marRight w:val="0"/>
      <w:marTop w:val="0"/>
      <w:marBottom w:val="0"/>
      <w:divBdr>
        <w:top w:val="none" w:sz="0" w:space="0" w:color="auto"/>
        <w:left w:val="none" w:sz="0" w:space="0" w:color="auto"/>
        <w:bottom w:val="none" w:sz="0" w:space="0" w:color="auto"/>
        <w:right w:val="none" w:sz="0" w:space="0" w:color="auto"/>
      </w:divBdr>
      <w:divsChild>
        <w:div w:id="1928422670">
          <w:marLeft w:val="547"/>
          <w:marRight w:val="0"/>
          <w:marTop w:val="134"/>
          <w:marBottom w:val="0"/>
          <w:divBdr>
            <w:top w:val="none" w:sz="0" w:space="0" w:color="auto"/>
            <w:left w:val="none" w:sz="0" w:space="0" w:color="auto"/>
            <w:bottom w:val="none" w:sz="0" w:space="0" w:color="auto"/>
            <w:right w:val="none" w:sz="0" w:space="0" w:color="auto"/>
          </w:divBdr>
        </w:div>
        <w:div w:id="342784145">
          <w:marLeft w:val="1166"/>
          <w:marRight w:val="0"/>
          <w:marTop w:val="115"/>
          <w:marBottom w:val="0"/>
          <w:divBdr>
            <w:top w:val="none" w:sz="0" w:space="0" w:color="auto"/>
            <w:left w:val="none" w:sz="0" w:space="0" w:color="auto"/>
            <w:bottom w:val="none" w:sz="0" w:space="0" w:color="auto"/>
            <w:right w:val="none" w:sz="0" w:space="0" w:color="auto"/>
          </w:divBdr>
        </w:div>
        <w:div w:id="429665602">
          <w:marLeft w:val="1800"/>
          <w:marRight w:val="0"/>
          <w:marTop w:val="96"/>
          <w:marBottom w:val="0"/>
          <w:divBdr>
            <w:top w:val="none" w:sz="0" w:space="0" w:color="auto"/>
            <w:left w:val="none" w:sz="0" w:space="0" w:color="auto"/>
            <w:bottom w:val="none" w:sz="0" w:space="0" w:color="auto"/>
            <w:right w:val="none" w:sz="0" w:space="0" w:color="auto"/>
          </w:divBdr>
        </w:div>
        <w:div w:id="1066032786">
          <w:marLeft w:val="2520"/>
          <w:marRight w:val="0"/>
          <w:marTop w:val="77"/>
          <w:marBottom w:val="0"/>
          <w:divBdr>
            <w:top w:val="none" w:sz="0" w:space="0" w:color="auto"/>
            <w:left w:val="none" w:sz="0" w:space="0" w:color="auto"/>
            <w:bottom w:val="none" w:sz="0" w:space="0" w:color="auto"/>
            <w:right w:val="none" w:sz="0" w:space="0" w:color="auto"/>
          </w:divBdr>
        </w:div>
        <w:div w:id="379786751">
          <w:marLeft w:val="2520"/>
          <w:marRight w:val="0"/>
          <w:marTop w:val="77"/>
          <w:marBottom w:val="0"/>
          <w:divBdr>
            <w:top w:val="none" w:sz="0" w:space="0" w:color="auto"/>
            <w:left w:val="none" w:sz="0" w:space="0" w:color="auto"/>
            <w:bottom w:val="none" w:sz="0" w:space="0" w:color="auto"/>
            <w:right w:val="none" w:sz="0" w:space="0" w:color="auto"/>
          </w:divBdr>
        </w:div>
        <w:div w:id="915238878">
          <w:marLeft w:val="1800"/>
          <w:marRight w:val="0"/>
          <w:marTop w:val="96"/>
          <w:marBottom w:val="0"/>
          <w:divBdr>
            <w:top w:val="none" w:sz="0" w:space="0" w:color="auto"/>
            <w:left w:val="none" w:sz="0" w:space="0" w:color="auto"/>
            <w:bottom w:val="none" w:sz="0" w:space="0" w:color="auto"/>
            <w:right w:val="none" w:sz="0" w:space="0" w:color="auto"/>
          </w:divBdr>
        </w:div>
        <w:div w:id="305937360">
          <w:marLeft w:val="1800"/>
          <w:marRight w:val="0"/>
          <w:marTop w:val="96"/>
          <w:marBottom w:val="0"/>
          <w:divBdr>
            <w:top w:val="none" w:sz="0" w:space="0" w:color="auto"/>
            <w:left w:val="none" w:sz="0" w:space="0" w:color="auto"/>
            <w:bottom w:val="none" w:sz="0" w:space="0" w:color="auto"/>
            <w:right w:val="none" w:sz="0" w:space="0" w:color="auto"/>
          </w:divBdr>
        </w:div>
        <w:div w:id="1297562730">
          <w:marLeft w:val="1800"/>
          <w:marRight w:val="0"/>
          <w:marTop w:val="96"/>
          <w:marBottom w:val="0"/>
          <w:divBdr>
            <w:top w:val="none" w:sz="0" w:space="0" w:color="auto"/>
            <w:left w:val="none" w:sz="0" w:space="0" w:color="auto"/>
            <w:bottom w:val="none" w:sz="0" w:space="0" w:color="auto"/>
            <w:right w:val="none" w:sz="0" w:space="0" w:color="auto"/>
          </w:divBdr>
        </w:div>
        <w:div w:id="1023165830">
          <w:marLeft w:val="1166"/>
          <w:marRight w:val="0"/>
          <w:marTop w:val="115"/>
          <w:marBottom w:val="0"/>
          <w:divBdr>
            <w:top w:val="none" w:sz="0" w:space="0" w:color="auto"/>
            <w:left w:val="none" w:sz="0" w:space="0" w:color="auto"/>
            <w:bottom w:val="none" w:sz="0" w:space="0" w:color="auto"/>
            <w:right w:val="none" w:sz="0" w:space="0" w:color="auto"/>
          </w:divBdr>
        </w:div>
        <w:div w:id="1592663143">
          <w:marLeft w:val="1166"/>
          <w:marRight w:val="0"/>
          <w:marTop w:val="11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8274920">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2116532">
      <w:bodyDiv w:val="1"/>
      <w:marLeft w:val="0"/>
      <w:marRight w:val="0"/>
      <w:marTop w:val="0"/>
      <w:marBottom w:val="0"/>
      <w:divBdr>
        <w:top w:val="none" w:sz="0" w:space="0" w:color="auto"/>
        <w:left w:val="none" w:sz="0" w:space="0" w:color="auto"/>
        <w:bottom w:val="none" w:sz="0" w:space="0" w:color="auto"/>
        <w:right w:val="none" w:sz="0" w:space="0" w:color="auto"/>
      </w:divBdr>
      <w:divsChild>
        <w:div w:id="211308170">
          <w:marLeft w:val="547"/>
          <w:marRight w:val="0"/>
          <w:marTop w:val="0"/>
          <w:marBottom w:val="0"/>
          <w:divBdr>
            <w:top w:val="none" w:sz="0" w:space="0" w:color="auto"/>
            <w:left w:val="none" w:sz="0" w:space="0" w:color="auto"/>
            <w:bottom w:val="none" w:sz="0" w:space="0" w:color="auto"/>
            <w:right w:val="none" w:sz="0" w:space="0" w:color="auto"/>
          </w:divBdr>
        </w:div>
        <w:div w:id="1443769578">
          <w:marLeft w:val="1498"/>
          <w:marRight w:val="0"/>
          <w:marTop w:val="0"/>
          <w:marBottom w:val="0"/>
          <w:divBdr>
            <w:top w:val="none" w:sz="0" w:space="0" w:color="auto"/>
            <w:left w:val="none" w:sz="0" w:space="0" w:color="auto"/>
            <w:bottom w:val="none" w:sz="0" w:space="0" w:color="auto"/>
            <w:right w:val="none" w:sz="0" w:space="0" w:color="auto"/>
          </w:divBdr>
        </w:div>
        <w:div w:id="158230476">
          <w:marLeft w:val="1498"/>
          <w:marRight w:val="0"/>
          <w:marTop w:val="0"/>
          <w:marBottom w:val="0"/>
          <w:divBdr>
            <w:top w:val="none" w:sz="0" w:space="0" w:color="auto"/>
            <w:left w:val="none" w:sz="0" w:space="0" w:color="auto"/>
            <w:bottom w:val="none" w:sz="0" w:space="0" w:color="auto"/>
            <w:right w:val="none" w:sz="0" w:space="0" w:color="auto"/>
          </w:divBdr>
        </w:div>
      </w:divsChild>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21042162">
      <w:bodyDiv w:val="1"/>
      <w:marLeft w:val="0"/>
      <w:marRight w:val="0"/>
      <w:marTop w:val="0"/>
      <w:marBottom w:val="0"/>
      <w:divBdr>
        <w:top w:val="none" w:sz="0" w:space="0" w:color="auto"/>
        <w:left w:val="none" w:sz="0" w:space="0" w:color="auto"/>
        <w:bottom w:val="none" w:sz="0" w:space="0" w:color="auto"/>
        <w:right w:val="none" w:sz="0" w:space="0" w:color="auto"/>
      </w:divBdr>
      <w:divsChild>
        <w:div w:id="1344436425">
          <w:marLeft w:val="706"/>
          <w:marRight w:val="0"/>
          <w:marTop w:val="0"/>
          <w:marBottom w:val="120"/>
          <w:divBdr>
            <w:top w:val="none" w:sz="0" w:space="0" w:color="auto"/>
            <w:left w:val="none" w:sz="0" w:space="0" w:color="auto"/>
            <w:bottom w:val="none" w:sz="0" w:space="0" w:color="auto"/>
            <w:right w:val="none" w:sz="0" w:space="0" w:color="auto"/>
          </w:divBdr>
        </w:div>
      </w:divsChild>
    </w:div>
    <w:div w:id="1537618085">
      <w:bodyDiv w:val="1"/>
      <w:marLeft w:val="0"/>
      <w:marRight w:val="0"/>
      <w:marTop w:val="0"/>
      <w:marBottom w:val="0"/>
      <w:divBdr>
        <w:top w:val="none" w:sz="0" w:space="0" w:color="auto"/>
        <w:left w:val="none" w:sz="0" w:space="0" w:color="auto"/>
        <w:bottom w:val="none" w:sz="0" w:space="0" w:color="auto"/>
        <w:right w:val="none" w:sz="0" w:space="0" w:color="auto"/>
      </w:divBdr>
      <w:divsChild>
        <w:div w:id="1215892056">
          <w:marLeft w:val="547"/>
          <w:marRight w:val="0"/>
          <w:marTop w:val="120"/>
          <w:marBottom w:val="120"/>
          <w:divBdr>
            <w:top w:val="none" w:sz="0" w:space="0" w:color="auto"/>
            <w:left w:val="none" w:sz="0" w:space="0" w:color="auto"/>
            <w:bottom w:val="none" w:sz="0" w:space="0" w:color="auto"/>
            <w:right w:val="none" w:sz="0" w:space="0" w:color="auto"/>
          </w:divBdr>
        </w:div>
        <w:div w:id="1717849332">
          <w:marLeft w:val="1166"/>
          <w:marRight w:val="0"/>
          <w:marTop w:val="120"/>
          <w:marBottom w:val="120"/>
          <w:divBdr>
            <w:top w:val="none" w:sz="0" w:space="0" w:color="auto"/>
            <w:left w:val="none" w:sz="0" w:space="0" w:color="auto"/>
            <w:bottom w:val="none" w:sz="0" w:space="0" w:color="auto"/>
            <w:right w:val="none" w:sz="0" w:space="0" w:color="auto"/>
          </w:divBdr>
        </w:div>
        <w:div w:id="706565063">
          <w:marLeft w:val="1800"/>
          <w:marRight w:val="0"/>
          <w:marTop w:val="120"/>
          <w:marBottom w:val="120"/>
          <w:divBdr>
            <w:top w:val="none" w:sz="0" w:space="0" w:color="auto"/>
            <w:left w:val="none" w:sz="0" w:space="0" w:color="auto"/>
            <w:bottom w:val="none" w:sz="0" w:space="0" w:color="auto"/>
            <w:right w:val="none" w:sz="0" w:space="0" w:color="auto"/>
          </w:divBdr>
        </w:div>
        <w:div w:id="757406305">
          <w:marLeft w:val="2520"/>
          <w:marRight w:val="0"/>
          <w:marTop w:val="120"/>
          <w:marBottom w:val="120"/>
          <w:divBdr>
            <w:top w:val="none" w:sz="0" w:space="0" w:color="auto"/>
            <w:left w:val="none" w:sz="0" w:space="0" w:color="auto"/>
            <w:bottom w:val="none" w:sz="0" w:space="0" w:color="auto"/>
            <w:right w:val="none" w:sz="0" w:space="0" w:color="auto"/>
          </w:divBdr>
        </w:div>
        <w:div w:id="1290362385">
          <w:marLeft w:val="1166"/>
          <w:marRight w:val="0"/>
          <w:marTop w:val="120"/>
          <w:marBottom w:val="120"/>
          <w:divBdr>
            <w:top w:val="none" w:sz="0" w:space="0" w:color="auto"/>
            <w:left w:val="none" w:sz="0" w:space="0" w:color="auto"/>
            <w:bottom w:val="none" w:sz="0" w:space="0" w:color="auto"/>
            <w:right w:val="none" w:sz="0" w:space="0" w:color="auto"/>
          </w:divBdr>
        </w:div>
        <w:div w:id="129638256">
          <w:marLeft w:val="1800"/>
          <w:marRight w:val="0"/>
          <w:marTop w:val="120"/>
          <w:marBottom w:val="120"/>
          <w:divBdr>
            <w:top w:val="none" w:sz="0" w:space="0" w:color="auto"/>
            <w:left w:val="none" w:sz="0" w:space="0" w:color="auto"/>
            <w:bottom w:val="none" w:sz="0" w:space="0" w:color="auto"/>
            <w:right w:val="none" w:sz="0" w:space="0" w:color="auto"/>
          </w:divBdr>
        </w:div>
        <w:div w:id="1700857906">
          <w:marLeft w:val="2520"/>
          <w:marRight w:val="0"/>
          <w:marTop w:val="120"/>
          <w:marBottom w:val="120"/>
          <w:divBdr>
            <w:top w:val="none" w:sz="0" w:space="0" w:color="auto"/>
            <w:left w:val="none" w:sz="0" w:space="0" w:color="auto"/>
            <w:bottom w:val="none" w:sz="0" w:space="0" w:color="auto"/>
            <w:right w:val="none" w:sz="0" w:space="0" w:color="auto"/>
          </w:divBdr>
        </w:div>
        <w:div w:id="565576845">
          <w:marLeft w:val="1166"/>
          <w:marRight w:val="0"/>
          <w:marTop w:val="120"/>
          <w:marBottom w:val="120"/>
          <w:divBdr>
            <w:top w:val="none" w:sz="0" w:space="0" w:color="auto"/>
            <w:left w:val="none" w:sz="0" w:space="0" w:color="auto"/>
            <w:bottom w:val="none" w:sz="0" w:space="0" w:color="auto"/>
            <w:right w:val="none" w:sz="0" w:space="0" w:color="auto"/>
          </w:divBdr>
        </w:div>
        <w:div w:id="901404065">
          <w:marLeft w:val="1800"/>
          <w:marRight w:val="0"/>
          <w:marTop w:val="120"/>
          <w:marBottom w:val="120"/>
          <w:divBdr>
            <w:top w:val="none" w:sz="0" w:space="0" w:color="auto"/>
            <w:left w:val="none" w:sz="0" w:space="0" w:color="auto"/>
            <w:bottom w:val="none" w:sz="0" w:space="0" w:color="auto"/>
            <w:right w:val="none" w:sz="0" w:space="0" w:color="auto"/>
          </w:divBdr>
        </w:div>
        <w:div w:id="1799448053">
          <w:marLeft w:val="1800"/>
          <w:marRight w:val="0"/>
          <w:marTop w:val="120"/>
          <w:marBottom w:val="120"/>
          <w:divBdr>
            <w:top w:val="none" w:sz="0" w:space="0" w:color="auto"/>
            <w:left w:val="none" w:sz="0" w:space="0" w:color="auto"/>
            <w:bottom w:val="none" w:sz="0" w:space="0" w:color="auto"/>
            <w:right w:val="none" w:sz="0" w:space="0" w:color="auto"/>
          </w:divBdr>
        </w:div>
        <w:div w:id="2081248204">
          <w:marLeft w:val="2520"/>
          <w:marRight w:val="0"/>
          <w:marTop w:val="120"/>
          <w:marBottom w:val="120"/>
          <w:divBdr>
            <w:top w:val="none" w:sz="0" w:space="0" w:color="auto"/>
            <w:left w:val="none" w:sz="0" w:space="0" w:color="auto"/>
            <w:bottom w:val="none" w:sz="0" w:space="0" w:color="auto"/>
            <w:right w:val="none" w:sz="0" w:space="0" w:color="auto"/>
          </w:divBdr>
        </w:div>
        <w:div w:id="1218928694">
          <w:marLeft w:val="3240"/>
          <w:marRight w:val="0"/>
          <w:marTop w:val="120"/>
          <w:marBottom w:val="120"/>
          <w:divBdr>
            <w:top w:val="none" w:sz="0" w:space="0" w:color="auto"/>
            <w:left w:val="none" w:sz="0" w:space="0" w:color="auto"/>
            <w:bottom w:val="none" w:sz="0" w:space="0" w:color="auto"/>
            <w:right w:val="none" w:sz="0" w:space="0" w:color="auto"/>
          </w:divBdr>
        </w:div>
        <w:div w:id="1426608076">
          <w:marLeft w:val="1166"/>
          <w:marRight w:val="0"/>
          <w:marTop w:val="120"/>
          <w:marBottom w:val="12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4863541">
      <w:bodyDiv w:val="1"/>
      <w:marLeft w:val="0"/>
      <w:marRight w:val="0"/>
      <w:marTop w:val="0"/>
      <w:marBottom w:val="0"/>
      <w:divBdr>
        <w:top w:val="none" w:sz="0" w:space="0" w:color="auto"/>
        <w:left w:val="none" w:sz="0" w:space="0" w:color="auto"/>
        <w:bottom w:val="none" w:sz="0" w:space="0" w:color="auto"/>
        <w:right w:val="none" w:sz="0" w:space="0" w:color="auto"/>
      </w:divBdr>
      <w:divsChild>
        <w:div w:id="553856799">
          <w:marLeft w:val="547"/>
          <w:marRight w:val="0"/>
          <w:marTop w:val="120"/>
          <w:marBottom w:val="120"/>
          <w:divBdr>
            <w:top w:val="none" w:sz="0" w:space="0" w:color="auto"/>
            <w:left w:val="none" w:sz="0" w:space="0" w:color="auto"/>
            <w:bottom w:val="none" w:sz="0" w:space="0" w:color="auto"/>
            <w:right w:val="none" w:sz="0" w:space="0" w:color="auto"/>
          </w:divBdr>
        </w:div>
        <w:div w:id="1365710785">
          <w:marLeft w:val="1166"/>
          <w:marRight w:val="0"/>
          <w:marTop w:val="120"/>
          <w:marBottom w:val="120"/>
          <w:divBdr>
            <w:top w:val="none" w:sz="0" w:space="0" w:color="auto"/>
            <w:left w:val="none" w:sz="0" w:space="0" w:color="auto"/>
            <w:bottom w:val="none" w:sz="0" w:space="0" w:color="auto"/>
            <w:right w:val="none" w:sz="0" w:space="0" w:color="auto"/>
          </w:divBdr>
        </w:div>
        <w:div w:id="831726334">
          <w:marLeft w:val="1800"/>
          <w:marRight w:val="0"/>
          <w:marTop w:val="120"/>
          <w:marBottom w:val="120"/>
          <w:divBdr>
            <w:top w:val="none" w:sz="0" w:space="0" w:color="auto"/>
            <w:left w:val="none" w:sz="0" w:space="0" w:color="auto"/>
            <w:bottom w:val="none" w:sz="0" w:space="0" w:color="auto"/>
            <w:right w:val="none" w:sz="0" w:space="0" w:color="auto"/>
          </w:divBdr>
        </w:div>
        <w:div w:id="109053282">
          <w:marLeft w:val="2520"/>
          <w:marRight w:val="0"/>
          <w:marTop w:val="120"/>
          <w:marBottom w:val="120"/>
          <w:divBdr>
            <w:top w:val="none" w:sz="0" w:space="0" w:color="auto"/>
            <w:left w:val="none" w:sz="0" w:space="0" w:color="auto"/>
            <w:bottom w:val="none" w:sz="0" w:space="0" w:color="auto"/>
            <w:right w:val="none" w:sz="0" w:space="0" w:color="auto"/>
          </w:divBdr>
        </w:div>
        <w:div w:id="1694451534">
          <w:marLeft w:val="1166"/>
          <w:marRight w:val="0"/>
          <w:marTop w:val="120"/>
          <w:marBottom w:val="120"/>
          <w:divBdr>
            <w:top w:val="none" w:sz="0" w:space="0" w:color="auto"/>
            <w:left w:val="none" w:sz="0" w:space="0" w:color="auto"/>
            <w:bottom w:val="none" w:sz="0" w:space="0" w:color="auto"/>
            <w:right w:val="none" w:sz="0" w:space="0" w:color="auto"/>
          </w:divBdr>
        </w:div>
        <w:div w:id="103766197">
          <w:marLeft w:val="1800"/>
          <w:marRight w:val="0"/>
          <w:marTop w:val="120"/>
          <w:marBottom w:val="120"/>
          <w:divBdr>
            <w:top w:val="none" w:sz="0" w:space="0" w:color="auto"/>
            <w:left w:val="none" w:sz="0" w:space="0" w:color="auto"/>
            <w:bottom w:val="none" w:sz="0" w:space="0" w:color="auto"/>
            <w:right w:val="none" w:sz="0" w:space="0" w:color="auto"/>
          </w:divBdr>
        </w:div>
        <w:div w:id="1693072739">
          <w:marLeft w:val="2520"/>
          <w:marRight w:val="0"/>
          <w:marTop w:val="120"/>
          <w:marBottom w:val="120"/>
          <w:divBdr>
            <w:top w:val="none" w:sz="0" w:space="0" w:color="auto"/>
            <w:left w:val="none" w:sz="0" w:space="0" w:color="auto"/>
            <w:bottom w:val="none" w:sz="0" w:space="0" w:color="auto"/>
            <w:right w:val="none" w:sz="0" w:space="0" w:color="auto"/>
          </w:divBdr>
        </w:div>
        <w:div w:id="487552550">
          <w:marLeft w:val="1166"/>
          <w:marRight w:val="0"/>
          <w:marTop w:val="120"/>
          <w:marBottom w:val="120"/>
          <w:divBdr>
            <w:top w:val="none" w:sz="0" w:space="0" w:color="auto"/>
            <w:left w:val="none" w:sz="0" w:space="0" w:color="auto"/>
            <w:bottom w:val="none" w:sz="0" w:space="0" w:color="auto"/>
            <w:right w:val="none" w:sz="0" w:space="0" w:color="auto"/>
          </w:divBdr>
        </w:div>
        <w:div w:id="540435490">
          <w:marLeft w:val="1800"/>
          <w:marRight w:val="0"/>
          <w:marTop w:val="120"/>
          <w:marBottom w:val="120"/>
          <w:divBdr>
            <w:top w:val="none" w:sz="0" w:space="0" w:color="auto"/>
            <w:left w:val="none" w:sz="0" w:space="0" w:color="auto"/>
            <w:bottom w:val="none" w:sz="0" w:space="0" w:color="auto"/>
            <w:right w:val="none" w:sz="0" w:space="0" w:color="auto"/>
          </w:divBdr>
        </w:div>
        <w:div w:id="273753137">
          <w:marLeft w:val="1800"/>
          <w:marRight w:val="0"/>
          <w:marTop w:val="120"/>
          <w:marBottom w:val="120"/>
          <w:divBdr>
            <w:top w:val="none" w:sz="0" w:space="0" w:color="auto"/>
            <w:left w:val="none" w:sz="0" w:space="0" w:color="auto"/>
            <w:bottom w:val="none" w:sz="0" w:space="0" w:color="auto"/>
            <w:right w:val="none" w:sz="0" w:space="0" w:color="auto"/>
          </w:divBdr>
        </w:div>
        <w:div w:id="398216311">
          <w:marLeft w:val="2520"/>
          <w:marRight w:val="0"/>
          <w:marTop w:val="120"/>
          <w:marBottom w:val="120"/>
          <w:divBdr>
            <w:top w:val="none" w:sz="0" w:space="0" w:color="auto"/>
            <w:left w:val="none" w:sz="0" w:space="0" w:color="auto"/>
            <w:bottom w:val="none" w:sz="0" w:space="0" w:color="auto"/>
            <w:right w:val="none" w:sz="0" w:space="0" w:color="auto"/>
          </w:divBdr>
        </w:div>
        <w:div w:id="943070887">
          <w:marLeft w:val="3240"/>
          <w:marRight w:val="0"/>
          <w:marTop w:val="120"/>
          <w:marBottom w:val="120"/>
          <w:divBdr>
            <w:top w:val="none" w:sz="0" w:space="0" w:color="auto"/>
            <w:left w:val="none" w:sz="0" w:space="0" w:color="auto"/>
            <w:bottom w:val="none" w:sz="0" w:space="0" w:color="auto"/>
            <w:right w:val="none" w:sz="0" w:space="0" w:color="auto"/>
          </w:divBdr>
        </w:div>
        <w:div w:id="15361674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B7B3F-DC3C-4C1D-8068-A5ADB069E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1367</Words>
  <Characters>7794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2025-08-15T08:32:00Z</dcterms:created>
  <dcterms:modified xsi:type="dcterms:W3CDTF">2025-08-15T08:32:00Z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(3)wh/FxgOoa+DVPF9UkzbnE6NkQdjc89EOQylIlMwK1PYxiRoDKs6y1O6jCq8+QrtwEeWWqXs9_x000d_
zm5KAa/C9F75NYReDyLD4t3Ei2i7dlABUkYgiSkgmj1t7obtaMT4QhCCE4gz89tKDN77ttNv_x000d_
1X4ZHbu3PES3hYnHXrsTfrAWPYe7CX1UNa7l0YQ/i7wXr0hElol2iDy0NWbIuFB8srx/7MvN_x000d_
8+1jofhu5lQMQu/24f</vt:lpwstr>
  </property>
  <property fmtid="{D5CDD505-2E9C-101B-9397-08002B2CF9AE}" pid="15" name="_2015_ms_pID_725343_00">
    <vt:lpwstr>_2015_ms_pID_725343</vt:lpwstr>
  </property>
  <property fmtid="{D5CDD505-2E9C-101B-9397-08002B2CF9AE}" pid="16" name="_2015_ms_pID_7253431">
    <vt:lpwstr>U/lHzIEFxnYdwp1aa4C4Ds5UyUyJavg4d6IEKC3eA8J3/9mPEcyXn3_x000d_
UyfH25ancFsUdbUgUFJZb92X+qy9AIU55uVlJ9JBsLDVHmelpLcXp8iGwNzz/IIM2Y8BJhDc_x000d_
BKC5CrDnn/YunriEfLUW8nnP1xJZAAcYmUVErxXqVDxjCIEptq0q4x8yARZhvuZK7o69Mbyz_x000d_
Pu/zTX1NqBkilIYru8pM1nRCf6T7MQ+OjXtB</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y fmtid="{D5CDD505-2E9C-101B-9397-08002B2CF9AE}" pid="23" name="KeyAssetLabel_HuaWei">
    <vt:lpwstr>{rGVDM6TEQtR5aLHL7Vby8NQXDKWFgL}</vt:lpwstr>
  </property>
</Properties>
</file>